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jc w:val="center"/>
        <w:rPr>
          <w:rFonts w:hint="default" w:ascii="Times New Roman" w:hAnsi="Times New Roman" w:eastAsia="黑体" w:cs="Times New Roman"/>
          <w:b/>
          <w:bCs/>
          <w:color w:val="auto"/>
          <w:sz w:val="44"/>
          <w:szCs w:val="44"/>
          <w:highlight w:val="none"/>
        </w:rPr>
      </w:pPr>
      <w:r>
        <w:rPr>
          <w:rFonts w:hint="default" w:ascii="Times New Roman" w:hAnsi="Times New Roman" w:eastAsia="黑体" w:cs="Times New Roman"/>
          <w:b/>
          <w:bCs/>
          <w:color w:val="auto"/>
          <w:sz w:val="44"/>
          <w:szCs w:val="44"/>
          <w:highlight w:val="none"/>
        </w:rPr>
        <w:t>建设项目竣工环境保护验收调查表</w:t>
      </w:r>
    </w:p>
    <w:p>
      <w:pPr>
        <w:jc w:val="center"/>
        <w:rPr>
          <w:rFonts w:hint="default" w:ascii="Times New Roman" w:hAnsi="Times New Roman" w:eastAsia="黑体" w:cs="Times New Roman"/>
          <w:b/>
          <w:bCs/>
          <w:color w:val="auto"/>
          <w:sz w:val="44"/>
          <w:szCs w:val="44"/>
          <w:highlight w:val="none"/>
        </w:rPr>
      </w:pPr>
    </w:p>
    <w:p>
      <w:pPr>
        <w:jc w:val="center"/>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项目名称：余姚市</w:t>
      </w:r>
      <w:r>
        <w:rPr>
          <w:rFonts w:hint="eastAsia" w:ascii="宋体" w:hAnsi="宋体" w:eastAsia="宋体" w:cs="宋体"/>
          <w:b w:val="0"/>
          <w:bCs w:val="0"/>
          <w:color w:val="auto"/>
          <w:sz w:val="28"/>
          <w:szCs w:val="28"/>
          <w:highlight w:val="none"/>
        </w:rPr>
        <w:t>余梁公路北延工程</w:t>
      </w:r>
      <w:r>
        <w:rPr>
          <w:rFonts w:hint="eastAsia" w:ascii="宋体" w:hAnsi="宋体" w:eastAsia="宋体" w:cs="宋体"/>
          <w:b w:val="0"/>
          <w:bCs w:val="0"/>
          <w:color w:val="auto"/>
          <w:sz w:val="28"/>
          <w:szCs w:val="28"/>
          <w:highlight w:val="none"/>
          <w:lang w:val="en-US" w:eastAsia="zh-CN"/>
        </w:rPr>
        <w:t>项目</w:t>
      </w:r>
      <w:r>
        <w:rPr>
          <w:rFonts w:hint="eastAsia" w:ascii="宋体" w:hAnsi="宋体" w:eastAsia="宋体" w:cs="宋体"/>
          <w:b w:val="0"/>
          <w:bCs w:val="0"/>
          <w:color w:val="auto"/>
          <w:sz w:val="28"/>
          <w:szCs w:val="28"/>
          <w:highlight w:val="none"/>
        </w:rPr>
        <w:t>I、II标段工程</w:t>
      </w: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color w:val="auto"/>
          <w:sz w:val="28"/>
          <w:szCs w:val="28"/>
          <w:highlight w:val="none"/>
          <w:lang w:val="en-US" w:eastAsia="zh-CN"/>
        </w:rPr>
        <w:t>委托单位：宁波舜通集团有限公司</w:t>
      </w:r>
    </w:p>
    <w:p>
      <w:pPr>
        <w:pStyle w:val="2"/>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jc w:val="left"/>
        <w:rPr>
          <w:rFonts w:hint="default" w:ascii="Times New Roman" w:hAnsi="Times New Roman" w:eastAsia="宋体" w:cs="Times New Roman"/>
          <w:color w:val="auto"/>
          <w:sz w:val="32"/>
          <w:szCs w:val="32"/>
          <w:highlight w:val="none"/>
        </w:rPr>
      </w:pPr>
    </w:p>
    <w:p>
      <w:pPr>
        <w:pStyle w:val="2"/>
        <w:rPr>
          <w:rFonts w:hint="default" w:ascii="Times New Roman" w:hAnsi="Times New Roman" w:eastAsia="宋体" w:cs="Times New Roman"/>
          <w:color w:val="auto"/>
          <w:sz w:val="32"/>
          <w:szCs w:val="32"/>
          <w:highlight w:val="none"/>
        </w:rPr>
      </w:pPr>
    </w:p>
    <w:p>
      <w:pPr>
        <w:pStyle w:val="14"/>
        <w:rPr>
          <w:rFonts w:hint="default" w:ascii="Times New Roman" w:hAnsi="Times New Roman" w:eastAsia="宋体" w:cs="Times New Roman"/>
          <w:color w:val="auto"/>
          <w:sz w:val="32"/>
          <w:szCs w:val="32"/>
          <w:highlight w:val="none"/>
        </w:rPr>
      </w:pPr>
    </w:p>
    <w:p>
      <w:pPr>
        <w:pStyle w:val="2"/>
        <w:rPr>
          <w:rFonts w:hint="default"/>
        </w:rPr>
      </w:pPr>
    </w:p>
    <w:p>
      <w:pPr>
        <w:jc w:val="left"/>
        <w:rPr>
          <w:rFonts w:hint="default" w:ascii="Times New Roman" w:hAnsi="Times New Roman" w:eastAsia="宋体" w:cs="Times New Roman"/>
          <w:color w:val="auto"/>
          <w:sz w:val="32"/>
          <w:szCs w:val="32"/>
          <w:highlight w:val="none"/>
        </w:rPr>
      </w:pPr>
    </w:p>
    <w:p>
      <w:pPr>
        <w:jc w:val="cente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编制单位：浙江双源环境科技有限公司</w:t>
      </w:r>
    </w:p>
    <w:p>
      <w:pPr>
        <w:jc w:val="cente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编制日期：202</w:t>
      </w:r>
      <w:r>
        <w:rPr>
          <w:rFonts w:hint="eastAsia" w:ascii="Times New Roman" w:hAnsi="Times New Roman" w:eastAsia="宋体" w:cs="Times New Roman"/>
          <w:b/>
          <w:bCs/>
          <w:color w:val="auto"/>
          <w:sz w:val="32"/>
          <w:szCs w:val="32"/>
          <w:highlight w:val="none"/>
          <w:lang w:val="en-US" w:eastAsia="zh-CN"/>
        </w:rPr>
        <w:t>4</w:t>
      </w:r>
      <w:r>
        <w:rPr>
          <w:rFonts w:hint="default" w:ascii="Times New Roman" w:hAnsi="Times New Roman" w:eastAsia="宋体" w:cs="Times New Roman"/>
          <w:b/>
          <w:bCs/>
          <w:color w:val="auto"/>
          <w:sz w:val="32"/>
          <w:szCs w:val="32"/>
          <w:highlight w:val="none"/>
        </w:rPr>
        <w:t>年</w:t>
      </w:r>
      <w:r>
        <w:rPr>
          <w:rFonts w:hint="eastAsia" w:ascii="Times New Roman" w:hAnsi="Times New Roman" w:eastAsia="宋体" w:cs="Times New Roman"/>
          <w:b/>
          <w:bCs/>
          <w:color w:val="auto"/>
          <w:sz w:val="32"/>
          <w:szCs w:val="32"/>
          <w:highlight w:val="none"/>
          <w:lang w:val="en-US" w:eastAsia="zh-CN"/>
        </w:rPr>
        <w:t>4</w:t>
      </w:r>
      <w:r>
        <w:rPr>
          <w:rFonts w:hint="default" w:ascii="Times New Roman" w:hAnsi="Times New Roman" w:eastAsia="宋体" w:cs="Times New Roman"/>
          <w:b/>
          <w:bCs/>
          <w:color w:val="auto"/>
          <w:sz w:val="32"/>
          <w:szCs w:val="32"/>
          <w:highlight w:val="none"/>
        </w:rPr>
        <w:t>月</w:t>
      </w:r>
    </w:p>
    <w:p>
      <w:pPr>
        <w:rPr>
          <w:rFonts w:hint="default" w:ascii="Times New Roman" w:hAnsi="Times New Roman" w:eastAsia="宋体" w:cs="Times New Roman"/>
          <w:b/>
          <w:color w:val="auto"/>
          <w:spacing w:val="42"/>
          <w:sz w:val="30"/>
          <w:szCs w:val="30"/>
          <w:highlight w:val="none"/>
        </w:rPr>
      </w:pPr>
      <w:r>
        <w:rPr>
          <w:rFonts w:hint="default" w:ascii="Times New Roman" w:hAnsi="Times New Roman" w:eastAsia="宋体" w:cs="Times New Roman"/>
          <w:b/>
          <w:color w:val="auto"/>
          <w:spacing w:val="42"/>
          <w:sz w:val="30"/>
          <w:szCs w:val="30"/>
          <w:highlight w:val="none"/>
        </w:rPr>
        <w:br w:type="page"/>
      </w:r>
    </w:p>
    <w:p>
      <w:pPr>
        <w:widowControl/>
        <w:jc w:val="left"/>
        <w:rPr>
          <w:rFonts w:hint="eastAsia" w:ascii="Times New Roman" w:hAnsi="Times New Roman" w:eastAsia="宋体" w:cs="Times New Roman"/>
          <w:b/>
          <w:color w:val="auto"/>
          <w:spacing w:val="42"/>
          <w:sz w:val="30"/>
          <w:szCs w:val="30"/>
          <w:highlight w:val="none"/>
          <w:lang w:eastAsia="zh-CN"/>
        </w:rPr>
      </w:pPr>
      <w:r>
        <w:rPr>
          <w:rFonts w:hint="default" w:ascii="Times New Roman" w:hAnsi="Times New Roman" w:eastAsia="宋体" w:cs="Times New Roman"/>
          <w:b/>
          <w:color w:val="auto"/>
          <w:spacing w:val="42"/>
          <w:sz w:val="30"/>
          <w:szCs w:val="30"/>
          <w:highlight w:val="none"/>
        </w:rPr>
        <w:t>建设单位：</w:t>
      </w:r>
      <w:r>
        <w:rPr>
          <w:rFonts w:hint="eastAsia" w:ascii="Times New Roman" w:hAnsi="Times New Roman" w:eastAsia="宋体" w:cs="Times New Roman"/>
          <w:b/>
          <w:color w:val="auto"/>
          <w:spacing w:val="42"/>
          <w:sz w:val="30"/>
          <w:szCs w:val="30"/>
          <w:highlight w:val="none"/>
          <w:lang w:eastAsia="zh-CN"/>
        </w:rPr>
        <w:t>宁波舜通集团有限公司</w:t>
      </w:r>
    </w:p>
    <w:p>
      <w:pPr>
        <w:widowControl/>
        <w:jc w:val="left"/>
        <w:rPr>
          <w:rFonts w:hint="eastAsia" w:ascii="Times New Roman" w:hAnsi="Times New Roman" w:eastAsia="宋体" w:cs="Times New Roman"/>
          <w:b/>
          <w:color w:val="auto"/>
          <w:spacing w:val="42"/>
          <w:sz w:val="30"/>
          <w:szCs w:val="30"/>
          <w:highlight w:val="none"/>
        </w:rPr>
      </w:pPr>
      <w:r>
        <w:rPr>
          <w:rFonts w:hint="eastAsia" w:ascii="Times New Roman" w:hAnsi="Times New Roman" w:eastAsia="宋体" w:cs="Times New Roman"/>
          <w:b/>
          <w:color w:val="auto"/>
          <w:spacing w:val="42"/>
          <w:sz w:val="30"/>
          <w:szCs w:val="30"/>
          <w:highlight w:val="none"/>
        </w:rPr>
        <w:t>法人代表</w:t>
      </w:r>
      <w:r>
        <w:rPr>
          <w:rFonts w:hint="eastAsia" w:ascii="Times New Roman" w:hAnsi="Times New Roman" w:eastAsia="宋体" w:cs="Times New Roman"/>
          <w:b w:val="0"/>
          <w:bCs/>
          <w:color w:val="auto"/>
          <w:spacing w:val="42"/>
          <w:sz w:val="30"/>
          <w:szCs w:val="30"/>
          <w:highlight w:val="none"/>
        </w:rPr>
        <w:t>（签字）</w:t>
      </w:r>
      <w:r>
        <w:rPr>
          <w:rFonts w:hint="eastAsia" w:ascii="Times New Roman" w:hAnsi="Times New Roman" w:eastAsia="宋体" w:cs="Times New Roman"/>
          <w:b/>
          <w:color w:val="auto"/>
          <w:spacing w:val="42"/>
          <w:sz w:val="30"/>
          <w:szCs w:val="30"/>
          <w:highlight w:val="none"/>
          <w:lang w:eastAsia="zh-CN"/>
        </w:rPr>
        <w:t>：</w:t>
      </w:r>
    </w:p>
    <w:p>
      <w:pPr>
        <w:widowControl/>
        <w:jc w:val="left"/>
        <w:rPr>
          <w:rFonts w:hint="eastAsia" w:ascii="Times New Roman" w:hAnsi="Times New Roman" w:eastAsia="宋体" w:cs="Times New Roman"/>
          <w:b/>
          <w:color w:val="auto"/>
          <w:spacing w:val="42"/>
          <w:sz w:val="30"/>
          <w:szCs w:val="30"/>
          <w:highlight w:val="none"/>
          <w:lang w:val="en-US" w:eastAsia="zh-CN"/>
        </w:rPr>
      </w:pPr>
      <w:r>
        <w:rPr>
          <w:rFonts w:hint="eastAsia" w:ascii="Times New Roman" w:hAnsi="Times New Roman" w:eastAsia="宋体" w:cs="Times New Roman"/>
          <w:b/>
          <w:color w:val="auto"/>
          <w:spacing w:val="42"/>
          <w:sz w:val="30"/>
          <w:szCs w:val="30"/>
          <w:highlight w:val="none"/>
          <w:lang w:val="en-US" w:eastAsia="zh-CN"/>
        </w:rPr>
        <w:t>项目负责人</w:t>
      </w:r>
      <w:r>
        <w:rPr>
          <w:rFonts w:hint="eastAsia" w:ascii="Times New Roman" w:hAnsi="Times New Roman" w:eastAsia="宋体" w:cs="Times New Roman"/>
          <w:b w:val="0"/>
          <w:bCs/>
          <w:color w:val="auto"/>
          <w:spacing w:val="42"/>
          <w:sz w:val="30"/>
          <w:szCs w:val="30"/>
          <w:highlight w:val="none"/>
        </w:rPr>
        <w:t>（签字）</w:t>
      </w:r>
      <w:r>
        <w:rPr>
          <w:rFonts w:hint="eastAsia" w:ascii="Times New Roman" w:hAnsi="Times New Roman" w:eastAsia="宋体" w:cs="Times New Roman"/>
          <w:b/>
          <w:color w:val="auto"/>
          <w:spacing w:val="42"/>
          <w:sz w:val="30"/>
          <w:szCs w:val="30"/>
          <w:highlight w:val="none"/>
          <w:lang w:val="en-US" w:eastAsia="zh-CN"/>
        </w:rPr>
        <w:t>：</w:t>
      </w:r>
    </w:p>
    <w:p>
      <w:pPr>
        <w:widowControl/>
        <w:jc w:val="left"/>
        <w:rPr>
          <w:rFonts w:hint="default" w:ascii="Times New Roman" w:hAnsi="Times New Roman" w:eastAsia="宋体" w:cs="Times New Roman"/>
          <w:b/>
          <w:color w:val="auto"/>
          <w:spacing w:val="42"/>
          <w:sz w:val="30"/>
          <w:szCs w:val="30"/>
          <w:highlight w:val="none"/>
        </w:rPr>
      </w:pPr>
    </w:p>
    <w:p>
      <w:pPr>
        <w:widowControl/>
        <w:jc w:val="left"/>
        <w:rPr>
          <w:rFonts w:hint="default" w:ascii="Times New Roman" w:hAnsi="Times New Roman" w:eastAsia="宋体" w:cs="Times New Roman"/>
          <w:b/>
          <w:color w:val="auto"/>
          <w:spacing w:val="42"/>
          <w:sz w:val="30"/>
          <w:szCs w:val="30"/>
          <w:highlight w:val="none"/>
        </w:rPr>
      </w:pPr>
    </w:p>
    <w:p>
      <w:pPr>
        <w:widowControl/>
        <w:jc w:val="left"/>
        <w:rPr>
          <w:rFonts w:hint="default" w:ascii="Times New Roman" w:hAnsi="Times New Roman" w:eastAsia="宋体" w:cs="Times New Roman"/>
          <w:b/>
          <w:color w:val="auto"/>
          <w:spacing w:val="42"/>
          <w:sz w:val="30"/>
          <w:szCs w:val="30"/>
          <w:highlight w:val="none"/>
        </w:rPr>
      </w:pPr>
    </w:p>
    <w:p>
      <w:pPr>
        <w:widowControl/>
        <w:jc w:val="left"/>
        <w:rPr>
          <w:rFonts w:hint="default" w:ascii="Times New Roman" w:hAnsi="Times New Roman" w:eastAsia="宋体" w:cs="Times New Roman"/>
          <w:b/>
          <w:color w:val="auto"/>
          <w:spacing w:val="42"/>
          <w:sz w:val="30"/>
          <w:szCs w:val="30"/>
          <w:highlight w:val="none"/>
        </w:rPr>
      </w:pPr>
      <w:r>
        <w:rPr>
          <w:rFonts w:hint="eastAsia" w:ascii="Times New Roman" w:hAnsi="Times New Roman" w:eastAsia="宋体" w:cs="Times New Roman"/>
          <w:b/>
          <w:color w:val="auto"/>
          <w:spacing w:val="42"/>
          <w:sz w:val="30"/>
          <w:szCs w:val="30"/>
          <w:highlight w:val="none"/>
          <w:lang w:eastAsia="zh-CN"/>
        </w:rPr>
        <w:t>编制</w:t>
      </w:r>
      <w:r>
        <w:rPr>
          <w:rFonts w:hint="default" w:ascii="Times New Roman" w:hAnsi="Times New Roman" w:eastAsia="宋体" w:cs="Times New Roman"/>
          <w:b/>
          <w:color w:val="auto"/>
          <w:spacing w:val="42"/>
          <w:sz w:val="30"/>
          <w:szCs w:val="30"/>
          <w:highlight w:val="none"/>
        </w:rPr>
        <w:t>单位：浙江双源环境科技有限公司</w:t>
      </w:r>
    </w:p>
    <w:p>
      <w:pPr>
        <w:widowControl/>
        <w:jc w:val="left"/>
        <w:rPr>
          <w:rFonts w:hint="default" w:ascii="Times New Roman" w:hAnsi="Times New Roman" w:eastAsia="宋体" w:cs="Times New Roman"/>
          <w:b/>
          <w:color w:val="auto"/>
          <w:spacing w:val="42"/>
          <w:sz w:val="30"/>
          <w:szCs w:val="30"/>
          <w:highlight w:val="none"/>
        </w:rPr>
      </w:pPr>
      <w:r>
        <w:rPr>
          <w:rFonts w:hint="default" w:ascii="Times New Roman" w:hAnsi="Times New Roman" w:eastAsia="宋体" w:cs="Times New Roman"/>
          <w:b/>
          <w:color w:val="auto"/>
          <w:spacing w:val="42"/>
          <w:sz w:val="30"/>
          <w:szCs w:val="30"/>
          <w:highlight w:val="none"/>
        </w:rPr>
        <w:t>法人代表</w:t>
      </w:r>
      <w:r>
        <w:rPr>
          <w:rFonts w:hint="default" w:ascii="Times New Roman" w:hAnsi="Times New Roman" w:eastAsia="宋体" w:cs="Times New Roman"/>
          <w:b w:val="0"/>
          <w:bCs/>
          <w:color w:val="auto"/>
          <w:spacing w:val="42"/>
          <w:sz w:val="30"/>
          <w:szCs w:val="30"/>
          <w:highlight w:val="none"/>
        </w:rPr>
        <w:t>（签字）</w:t>
      </w:r>
      <w:r>
        <w:rPr>
          <w:rFonts w:hint="default" w:ascii="Times New Roman" w:hAnsi="Times New Roman" w:eastAsia="宋体" w:cs="Times New Roman"/>
          <w:b/>
          <w:color w:val="auto"/>
          <w:spacing w:val="42"/>
          <w:sz w:val="30"/>
          <w:szCs w:val="30"/>
          <w:highlight w:val="none"/>
        </w:rPr>
        <w:t>：</w:t>
      </w:r>
    </w:p>
    <w:p>
      <w:pPr>
        <w:widowControl/>
        <w:jc w:val="left"/>
        <w:rPr>
          <w:rFonts w:hint="default" w:ascii="Times New Roman" w:hAnsi="Times New Roman" w:eastAsia="宋体" w:cs="Times New Roman"/>
          <w:b/>
          <w:color w:val="auto"/>
          <w:spacing w:val="42"/>
          <w:sz w:val="30"/>
          <w:szCs w:val="30"/>
          <w:highlight w:val="none"/>
        </w:rPr>
      </w:pPr>
      <w:r>
        <w:rPr>
          <w:rFonts w:hint="default" w:ascii="Times New Roman" w:hAnsi="Times New Roman" w:eastAsia="宋体" w:cs="Times New Roman"/>
          <w:b/>
          <w:color w:val="auto"/>
          <w:spacing w:val="42"/>
          <w:sz w:val="30"/>
          <w:szCs w:val="30"/>
          <w:highlight w:val="none"/>
        </w:rPr>
        <w:t>项目负责</w:t>
      </w:r>
      <w:r>
        <w:rPr>
          <w:rFonts w:hint="eastAsia" w:ascii="Times New Roman" w:hAnsi="Times New Roman" w:eastAsia="宋体" w:cs="Times New Roman"/>
          <w:b/>
          <w:color w:val="auto"/>
          <w:spacing w:val="42"/>
          <w:sz w:val="30"/>
          <w:szCs w:val="30"/>
          <w:highlight w:val="none"/>
          <w:lang w:eastAsia="zh-CN"/>
        </w:rPr>
        <w:t>人</w:t>
      </w:r>
      <w:r>
        <w:rPr>
          <w:rFonts w:hint="default" w:ascii="Times New Roman" w:hAnsi="Times New Roman" w:eastAsia="宋体" w:cs="Times New Roman"/>
          <w:b w:val="0"/>
          <w:bCs/>
          <w:color w:val="auto"/>
          <w:spacing w:val="42"/>
          <w:sz w:val="30"/>
          <w:szCs w:val="30"/>
          <w:highlight w:val="none"/>
        </w:rPr>
        <w:t>（签字）</w:t>
      </w:r>
      <w:r>
        <w:rPr>
          <w:rFonts w:hint="default" w:ascii="Times New Roman" w:hAnsi="Times New Roman" w:eastAsia="宋体" w:cs="Times New Roman"/>
          <w:b/>
          <w:color w:val="auto"/>
          <w:spacing w:val="42"/>
          <w:sz w:val="30"/>
          <w:szCs w:val="30"/>
          <w:highlight w:val="none"/>
        </w:rPr>
        <w:t>：</w:t>
      </w:r>
    </w:p>
    <w:p>
      <w:pPr>
        <w:pStyle w:val="8"/>
        <w:ind w:firstLine="600"/>
        <w:rPr>
          <w:rFonts w:hint="default" w:ascii="Times New Roman" w:hAnsi="Times New Roman" w:eastAsia="宋体" w:cs="Times New Roman"/>
          <w:color w:val="auto"/>
          <w:sz w:val="30"/>
          <w:szCs w:val="30"/>
          <w:highlight w:val="none"/>
        </w:rPr>
      </w:pPr>
    </w:p>
    <w:p>
      <w:pPr>
        <w:pStyle w:val="8"/>
        <w:ind w:firstLine="600"/>
        <w:rPr>
          <w:rFonts w:hint="default" w:ascii="Times New Roman" w:hAnsi="Times New Roman" w:eastAsia="宋体" w:cs="Times New Roman"/>
          <w:color w:val="auto"/>
          <w:sz w:val="30"/>
          <w:szCs w:val="30"/>
          <w:highlight w:val="none"/>
        </w:rPr>
      </w:pPr>
    </w:p>
    <w:p>
      <w:pPr>
        <w:pStyle w:val="8"/>
        <w:ind w:firstLine="600"/>
        <w:rPr>
          <w:rFonts w:hint="default" w:ascii="Times New Roman" w:hAnsi="Times New Roman" w:eastAsia="宋体" w:cs="Times New Roman"/>
          <w:color w:val="auto"/>
          <w:sz w:val="30"/>
          <w:szCs w:val="30"/>
          <w:highlight w:val="none"/>
        </w:rPr>
      </w:pPr>
    </w:p>
    <w:p>
      <w:pPr>
        <w:pStyle w:val="8"/>
        <w:ind w:firstLine="600"/>
        <w:rPr>
          <w:rFonts w:hint="default" w:ascii="Times New Roman" w:hAnsi="Times New Roman" w:eastAsia="宋体" w:cs="Times New Roman"/>
          <w:color w:val="auto"/>
          <w:sz w:val="30"/>
          <w:szCs w:val="30"/>
          <w:highlight w:val="none"/>
        </w:rPr>
      </w:pPr>
    </w:p>
    <w:p>
      <w:pPr>
        <w:pStyle w:val="8"/>
        <w:ind w:firstLine="0" w:firstLineChars="0"/>
        <w:rPr>
          <w:rFonts w:hint="default" w:ascii="Times New Roman" w:hAnsi="Times New Roman" w:eastAsia="宋体" w:cs="Times New Roman"/>
          <w:color w:val="auto"/>
          <w:sz w:val="30"/>
          <w:szCs w:val="30"/>
          <w:highlight w:val="none"/>
        </w:rPr>
      </w:pPr>
    </w:p>
    <w:p>
      <w:pPr>
        <w:pStyle w:val="8"/>
        <w:ind w:firstLine="600"/>
        <w:rPr>
          <w:rFonts w:hint="default" w:ascii="Times New Roman" w:hAnsi="Times New Roman" w:eastAsia="宋体" w:cs="Times New Roman"/>
          <w:color w:val="auto"/>
          <w:sz w:val="30"/>
          <w:szCs w:val="30"/>
          <w:highlight w:val="none"/>
        </w:rPr>
      </w:pPr>
    </w:p>
    <w:p>
      <w:pPr>
        <w:spacing w:line="360" w:lineRule="auto"/>
        <w:ind w:left="-420" w:leftChars="-200"/>
        <w:rPr>
          <w:rFonts w:hint="default" w:ascii="Times New Roman" w:hAnsi="Times New Roman" w:eastAsia="仿宋_GB2312" w:cs="Times New Roman"/>
          <w:color w:val="auto"/>
          <w:sz w:val="24"/>
          <w:highlight w:val="none"/>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360" w:lineRule="auto"/>
        <w:ind w:left="-420" w:leftChars="-200"/>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建设单位：</w:t>
      </w:r>
      <w:r>
        <w:rPr>
          <w:rFonts w:hint="eastAsia" w:ascii="Times New Roman" w:hAnsi="Times New Roman" w:eastAsia="仿宋_GB2312" w:cs="Times New Roman"/>
          <w:color w:val="auto"/>
          <w:sz w:val="24"/>
          <w:highlight w:val="none"/>
          <w:lang w:eastAsia="zh-CN"/>
        </w:rPr>
        <w:t>宁波舜通集团有限公司</w:t>
      </w:r>
    </w:p>
    <w:p>
      <w:pPr>
        <w:spacing w:line="360" w:lineRule="auto"/>
        <w:ind w:left="-420" w:left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（盖章）</w:t>
      </w:r>
    </w:p>
    <w:p>
      <w:pPr>
        <w:spacing w:line="360" w:lineRule="auto"/>
        <w:ind w:left="-420" w:left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电话：</w:t>
      </w:r>
    </w:p>
    <w:p>
      <w:pPr>
        <w:spacing w:line="360" w:lineRule="auto"/>
        <w:ind w:left="-420" w:left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传真：/</w:t>
      </w:r>
    </w:p>
    <w:p>
      <w:pPr>
        <w:spacing w:line="360" w:lineRule="auto"/>
        <w:ind w:left="-420" w:left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邮编：</w:t>
      </w:r>
    </w:p>
    <w:p>
      <w:pPr>
        <w:spacing w:line="360" w:lineRule="auto"/>
        <w:ind w:left="60" w:leftChars="-200" w:right="-210" w:rightChars="-100" w:hanging="480" w:hanging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地址：</w:t>
      </w:r>
      <w:r>
        <w:rPr>
          <w:rFonts w:hint="eastAsia" w:ascii="Times New Roman" w:hAnsi="Times New Roman" w:eastAsia="仿宋_GB2312" w:cs="Times New Roman"/>
          <w:color w:val="auto"/>
          <w:sz w:val="24"/>
          <w:highlight w:val="none"/>
          <w:lang w:val="en-US" w:eastAsia="zh-CN"/>
        </w:rPr>
        <w:t xml:space="preserve">    </w:t>
      </w:r>
      <w:r>
        <w:rPr>
          <w:rFonts w:hint="default" w:ascii="Times New Roman" w:hAnsi="Times New Roman" w:eastAsia="仿宋_GB2312" w:cs="Times New Roman"/>
          <w:color w:val="auto"/>
          <w:sz w:val="24"/>
          <w:highlight w:val="none"/>
        </w:rPr>
        <w:br w:type="column"/>
      </w:r>
      <w:r>
        <w:rPr>
          <w:rFonts w:hint="eastAsia" w:ascii="Times New Roman" w:hAnsi="Times New Roman" w:eastAsia="仿宋_GB2312" w:cs="Times New Roman"/>
          <w:color w:val="auto"/>
          <w:sz w:val="24"/>
          <w:highlight w:val="none"/>
          <w:lang w:eastAsia="zh-CN"/>
        </w:rPr>
        <w:t>编制</w:t>
      </w:r>
      <w:r>
        <w:rPr>
          <w:rFonts w:hint="default" w:ascii="Times New Roman" w:hAnsi="Times New Roman" w:eastAsia="仿宋_GB2312" w:cs="Times New Roman"/>
          <w:color w:val="auto"/>
          <w:sz w:val="24"/>
          <w:highlight w:val="none"/>
        </w:rPr>
        <w:t>单位：浙江双源环境科技有限公司</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（盖章）</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电话：057</w:t>
      </w:r>
      <w:r>
        <w:rPr>
          <w:rFonts w:hint="default" w:ascii="Times New Roman" w:hAnsi="Times New Roman" w:eastAsia="仿宋_GB2312" w:cs="Times New Roman"/>
          <w:color w:val="auto"/>
          <w:sz w:val="24"/>
          <w:highlight w:val="none"/>
          <w:lang w:val="en-US" w:eastAsia="zh-CN"/>
        </w:rPr>
        <w:t>4</w:t>
      </w:r>
      <w:r>
        <w:rPr>
          <w:rFonts w:hint="default" w:ascii="Times New Roman" w:hAnsi="Times New Roman" w:eastAsia="仿宋_GB2312" w:cs="Times New Roman"/>
          <w:color w:val="auto"/>
          <w:sz w:val="24"/>
          <w:highlight w:val="none"/>
        </w:rPr>
        <w:t>-87050907</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传真：/</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邮编：315000</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地址：宁波市海曙区洞桥镇洞振路28号</w:t>
      </w:r>
    </w:p>
    <w:p>
      <w:pPr>
        <w:pStyle w:val="8"/>
        <w:ind w:firstLine="0" w:firstLineChars="0"/>
        <w:rPr>
          <w:rFonts w:hint="default" w:ascii="Times New Roman" w:hAnsi="Times New Roman" w:eastAsia="宋体" w:cs="Times New Roman"/>
          <w:color w:val="auto"/>
          <w:sz w:val="30"/>
          <w:szCs w:val="30"/>
          <w:highlight w:val="none"/>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425" w:num="2"/>
          <w:docGrid w:type="lines" w:linePitch="312" w:charSpace="0"/>
        </w:sectPr>
      </w:pPr>
    </w:p>
    <w:p>
      <w:pPr>
        <w:pStyle w:val="14"/>
        <w:tabs>
          <w:tab w:val="right" w:leader="dot" w:pos="8306"/>
        </w:tabs>
        <w:jc w:val="center"/>
        <w:rPr>
          <w:rFonts w:hint="default" w:ascii="Times New Roman" w:hAnsi="Times New Roman" w:eastAsia="黑体" w:cs="Times New Roman"/>
          <w:color w:val="auto"/>
          <w:sz w:val="44"/>
          <w:szCs w:val="44"/>
          <w:highlight w:val="none"/>
        </w:rPr>
      </w:pPr>
      <w:r>
        <w:rPr>
          <w:rFonts w:hint="default" w:ascii="Times New Roman" w:hAnsi="Times New Roman" w:eastAsia="黑体" w:cs="Times New Roman"/>
          <w:color w:val="auto"/>
          <w:sz w:val="44"/>
          <w:szCs w:val="44"/>
          <w:highlight w:val="none"/>
        </w:rPr>
        <w:t>目 录</w:t>
      </w:r>
    </w:p>
    <w:p>
      <w:pPr>
        <w:pStyle w:val="14"/>
        <w:tabs>
          <w:tab w:val="right" w:leader="dot" w:pos="8306"/>
        </w:tabs>
        <w:rPr>
          <w:rFonts w:hint="default" w:ascii="Times New Roman" w:hAnsi="Times New Roman" w:cs="Times New Roman"/>
          <w:color w:val="auto"/>
          <w:sz w:val="24"/>
          <w:highlight w:val="none"/>
        </w:rPr>
      </w:pP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TOC \o "1-3" \h \z \u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"_Toc24890"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1 项目总体情况</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_Toc24890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1</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"_Toc25337"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2 调查范围、因子、目标、重点</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_Toc25337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"_Toc13801"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3 验收执行标准</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_Toc13801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6</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"_Toc20419"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4 工程概况</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_Toc20419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9</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"_Toc14505"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5 环境影响评价回顾</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_Toc14505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22</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"_Toc20294"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6 环境保护措施执行情况</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_Toc20294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27</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"_Toc31088"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7 环境影响调查</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_Toc31088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30</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"_Toc19233"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8 环境质量及污染源监测（附监测图）</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_Toc19233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31</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"_Toc22261"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9 环境管理状况及监测计划</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_Toc22261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32</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"_Toc7282"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10 调查结论与建议</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_Toc7282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39</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end"/>
      </w:r>
    </w:p>
    <w:p>
      <w:pPr>
        <w:rPr>
          <w:rFonts w:hint="default" w:ascii="Times New Roman" w:hAnsi="Times New Roman" w:cs="Times New Roman"/>
          <w:color w:val="auto"/>
          <w:sz w:val="30"/>
          <w:szCs w:val="30"/>
          <w:highlight w:val="none"/>
        </w:rPr>
      </w:pPr>
    </w:p>
    <w:p>
      <w:pPr>
        <w:rPr>
          <w:rFonts w:hint="default" w:ascii="Times New Roman" w:hAnsi="Times New Roman" w:cs="Times New Roman"/>
          <w:color w:val="auto"/>
          <w:sz w:val="30"/>
          <w:szCs w:val="30"/>
          <w:highlight w:val="none"/>
        </w:rPr>
      </w:pPr>
    </w:p>
    <w:p>
      <w:pPr>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3"/>
        <w:ind w:firstLine="420"/>
        <w:rPr>
          <w:rFonts w:hint="default" w:ascii="Times New Roman" w:hAnsi="Times New Roman" w:cs="Times New Roman"/>
          <w:color w:val="auto"/>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0" w:name="_Toc24890"/>
    </w:p>
    <w:p>
      <w:pPr>
        <w:pStyle w:val="3"/>
        <w:rPr>
          <w:rFonts w:hint="default" w:ascii="Times New Roman" w:hAnsi="Times New Roman" w:eastAsia="宋体" w:cs="Times New Roman"/>
          <w:bCs/>
          <w:color w:val="auto"/>
          <w:sz w:val="24"/>
          <w:highlight w:val="none"/>
        </w:rPr>
      </w:pPr>
      <w:r>
        <w:rPr>
          <w:rFonts w:hint="default" w:ascii="Times New Roman" w:hAnsi="Times New Roman" w:cs="Times New Roman"/>
          <w:color w:val="auto"/>
          <w:highlight w:val="none"/>
        </w:rPr>
        <w:t>1 项目总体情况</w:t>
      </w:r>
      <w:bookmarkEnd w:id="0"/>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1768"/>
        <w:gridCol w:w="167"/>
        <w:gridCol w:w="160"/>
        <w:gridCol w:w="539"/>
        <w:gridCol w:w="206"/>
        <w:gridCol w:w="385"/>
        <w:gridCol w:w="752"/>
        <w:gridCol w:w="243"/>
        <w:gridCol w:w="160"/>
        <w:gridCol w:w="108"/>
        <w:gridCol w:w="267"/>
        <w:gridCol w:w="568"/>
        <w:gridCol w:w="440"/>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建设项目名称</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余姚市余梁公路北延工程I、II标段工程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w:t>
            </w:r>
          </w:p>
        </w:tc>
        <w:tc>
          <w:tcPr>
            <w:tcW w:w="3577" w:type="pct"/>
            <w:gridSpan w:val="14"/>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宁波舜通集团有限公司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法人代表</w:t>
            </w:r>
          </w:p>
        </w:tc>
        <w:tc>
          <w:tcPr>
            <w:tcW w:w="1418" w:type="pct"/>
            <w:gridSpan w:val="4"/>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郑祯</w:t>
            </w:r>
          </w:p>
        </w:tc>
        <w:tc>
          <w:tcPr>
            <w:tcW w:w="998" w:type="pct"/>
            <w:gridSpan w:val="6"/>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联系人</w:t>
            </w:r>
          </w:p>
        </w:tc>
        <w:tc>
          <w:tcPr>
            <w:tcW w:w="1161" w:type="pct"/>
            <w:gridSpan w:val="4"/>
            <w:vAlign w:val="center"/>
          </w:tcPr>
          <w:p>
            <w:pPr>
              <w:jc w:val="center"/>
              <w:rPr>
                <w:rFonts w:hint="eastAsia" w:ascii="Times New Roman" w:hAnsi="Times New Roman" w:eastAsia="宋体" w:cs="Times New Roman"/>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通信地址</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浙江省余姚市南雷南路388号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联系电话</w:t>
            </w:r>
          </w:p>
        </w:tc>
        <w:tc>
          <w:tcPr>
            <w:tcW w:w="1042" w:type="pct"/>
            <w:gridSpan w:val="2"/>
            <w:vAlign w:val="center"/>
          </w:tcPr>
          <w:p>
            <w:pPr>
              <w:jc w:val="center"/>
              <w:rPr>
                <w:rFonts w:hint="default" w:ascii="Times New Roman" w:hAnsi="Times New Roman" w:eastAsia="宋体" w:cs="Times New Roman"/>
                <w:color w:val="auto"/>
                <w:szCs w:val="21"/>
                <w:highlight w:val="none"/>
                <w:lang w:val="en-US" w:eastAsia="zh-CN"/>
              </w:rPr>
            </w:pPr>
          </w:p>
        </w:tc>
        <w:tc>
          <w:tcPr>
            <w:tcW w:w="375" w:type="pct"/>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传真</w:t>
            </w:r>
          </w:p>
        </w:tc>
        <w:tc>
          <w:tcPr>
            <w:tcW w:w="854" w:type="pct"/>
            <w:gridSpan w:val="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594" w:type="pct"/>
            <w:gridSpan w:val="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邮编</w:t>
            </w:r>
          </w:p>
        </w:tc>
        <w:tc>
          <w:tcPr>
            <w:tcW w:w="710" w:type="pct"/>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315402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I、II标段工程起自谭家岭西路与余梁公路交叉口</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终点在六一省道与余梁公路交叉口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项目性质</w:t>
            </w:r>
          </w:p>
        </w:tc>
        <w:tc>
          <w:tcPr>
            <w:tcW w:w="1529" w:type="pct"/>
            <w:gridSpan w:val="5"/>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szCs w:val="21"/>
                <w:highlight w:val="none"/>
              </w:rPr>
              <w:t>新建</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szCs w:val="21"/>
                <w:highlight w:val="none"/>
              </w:rPr>
              <w:t>改扩建</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szCs w:val="21"/>
                <w:highlight w:val="none"/>
              </w:rPr>
              <w:t>技改</w:t>
            </w:r>
          </w:p>
        </w:tc>
        <w:tc>
          <w:tcPr>
            <w:tcW w:w="612" w:type="pct"/>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行业类型</w:t>
            </w:r>
          </w:p>
        </w:tc>
        <w:tc>
          <w:tcPr>
            <w:tcW w:w="1435" w:type="pct"/>
            <w:gridSpan w:val="7"/>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E4812公路工程建筑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环境影响报告表名称</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余姚市余梁公路北延工程</w:t>
            </w:r>
            <w:r>
              <w:rPr>
                <w:rFonts w:hint="eastAsia" w:ascii="Times New Roman" w:hAnsi="Times New Roman" w:eastAsia="宋体" w:cs="Times New Roman"/>
                <w:color w:val="auto"/>
                <w:szCs w:val="21"/>
                <w:highlight w:val="none"/>
                <w:lang w:val="en-US" w:eastAsia="zh-CN"/>
              </w:rPr>
              <w:t>建设</w:t>
            </w:r>
            <w:r>
              <w:rPr>
                <w:rFonts w:hint="eastAsia" w:ascii="Times New Roman" w:hAnsi="Times New Roman" w:eastAsia="宋体" w:cs="Times New Roman"/>
                <w:color w:val="auto"/>
                <w:szCs w:val="21"/>
                <w:highlight w:val="none"/>
                <w:lang w:eastAsia="zh-CN"/>
              </w:rPr>
              <w:t>项目</w:t>
            </w:r>
            <w:r>
              <w:rPr>
                <w:rFonts w:hint="default" w:ascii="Times New Roman" w:hAnsi="Times New Roman" w:eastAsia="宋体" w:cs="Times New Roman"/>
                <w:color w:val="auto"/>
                <w:szCs w:val="21"/>
                <w:highlight w:val="none"/>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环境影响评价单位</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宁波环境保护科学研究设计院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立项审批部门</w:t>
            </w:r>
          </w:p>
        </w:tc>
        <w:tc>
          <w:tcPr>
            <w:tcW w:w="1128" w:type="pct"/>
            <w:gridSpan w:val="3"/>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原宁波市发展和改革委员会</w:t>
            </w:r>
          </w:p>
        </w:tc>
        <w:tc>
          <w:tcPr>
            <w:tcW w:w="289"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文号</w:t>
            </w:r>
          </w:p>
        </w:tc>
        <w:tc>
          <w:tcPr>
            <w:tcW w:w="854" w:type="pct"/>
            <w:gridSpan w:val="4"/>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甬发改交通〔2008〕328号</w:t>
            </w:r>
          </w:p>
        </w:tc>
        <w:tc>
          <w:tcPr>
            <w:tcW w:w="288" w:type="pct"/>
            <w:gridSpan w:val="3"/>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时间</w:t>
            </w:r>
          </w:p>
        </w:tc>
        <w:tc>
          <w:tcPr>
            <w:tcW w:w="1016" w:type="pct"/>
            <w:gridSpan w:val="3"/>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rPr>
              <w:t>年</w:t>
            </w:r>
            <w:r>
              <w:rPr>
                <w:rFonts w:hint="eastAsia"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rPr>
              <w:t>月</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环境影响评价审批部门</w:t>
            </w:r>
          </w:p>
        </w:tc>
        <w:tc>
          <w:tcPr>
            <w:tcW w:w="1128" w:type="pct"/>
            <w:gridSpan w:val="3"/>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原余姚市</w:t>
            </w:r>
            <w:r>
              <w:rPr>
                <w:rFonts w:hint="default" w:ascii="Times New Roman" w:hAnsi="Times New Roman" w:eastAsia="宋体" w:cs="Times New Roman"/>
                <w:color w:val="auto"/>
                <w:szCs w:val="21"/>
                <w:highlight w:val="none"/>
              </w:rPr>
              <w:t>环境保护局</w:t>
            </w:r>
          </w:p>
        </w:tc>
        <w:tc>
          <w:tcPr>
            <w:tcW w:w="289"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文号</w:t>
            </w:r>
          </w:p>
        </w:tc>
        <w:tc>
          <w:tcPr>
            <w:tcW w:w="854" w:type="pct"/>
            <w:gridSpan w:val="4"/>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余环建</w:t>
            </w:r>
            <w:r>
              <w:rPr>
                <w:rFonts w:hint="default" w:ascii="Times New Roman" w:hAnsi="Times New Roman" w:eastAsia="宋体" w:cs="Times New Roman"/>
                <w:color w:val="auto"/>
                <w:szCs w:val="21"/>
                <w:highlight w:val="none"/>
                <w:lang w:val="en-US" w:eastAsia="zh-CN"/>
              </w:rPr>
              <w:t>〔2008〕3</w:t>
            </w:r>
            <w:r>
              <w:rPr>
                <w:rFonts w:hint="eastAsia"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rPr>
              <w:t>号</w:t>
            </w:r>
          </w:p>
        </w:tc>
        <w:tc>
          <w:tcPr>
            <w:tcW w:w="288" w:type="pct"/>
            <w:gridSpan w:val="3"/>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时间</w:t>
            </w:r>
          </w:p>
        </w:tc>
        <w:tc>
          <w:tcPr>
            <w:tcW w:w="1016" w:type="pct"/>
            <w:gridSpan w:val="3"/>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rPr>
              <w:t>年9月</w:t>
            </w:r>
            <w:r>
              <w:rPr>
                <w:rFonts w:hint="eastAsia" w:ascii="Times New Roman" w:hAnsi="Times New Roman" w:eastAsia="宋体" w:cs="Times New Roman"/>
                <w:color w:val="auto"/>
                <w:szCs w:val="21"/>
                <w:highlight w:val="none"/>
                <w:lang w:val="en-US" w:eastAsia="zh-CN"/>
              </w:rPr>
              <w:t>18</w:t>
            </w:r>
            <w:r>
              <w:rPr>
                <w:rFonts w:hint="default" w:ascii="Times New Roman" w:hAnsi="Times New Roman" w:eastAsia="宋体" w:cs="Times New Roman"/>
                <w:color w:val="auto"/>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ascii="Times New Roman" w:hAnsi="Times New Roman" w:eastAsia="宋体" w:cs="Times New Roman"/>
                <w:szCs w:val="21"/>
              </w:rPr>
              <w:t>设计单位</w:t>
            </w:r>
          </w:p>
        </w:tc>
        <w:tc>
          <w:tcPr>
            <w:tcW w:w="3577" w:type="pct"/>
            <w:gridSpan w:val="14"/>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余姚市交通规划设计研究院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szCs w:val="21"/>
              </w:rPr>
              <w:t>勘察</w:t>
            </w:r>
            <w:r>
              <w:rPr>
                <w:rFonts w:ascii="Times New Roman" w:hAnsi="Times New Roman" w:eastAsia="宋体" w:cs="Times New Roman"/>
                <w:szCs w:val="21"/>
              </w:rPr>
              <w:t>单位</w:t>
            </w:r>
          </w:p>
        </w:tc>
        <w:tc>
          <w:tcPr>
            <w:tcW w:w="3577" w:type="pct"/>
            <w:gridSpan w:val="14"/>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余姚市交通规划设计研究院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szCs w:val="21"/>
              </w:rPr>
              <w:t>施工单位</w:t>
            </w:r>
          </w:p>
        </w:tc>
        <w:tc>
          <w:tcPr>
            <w:tcW w:w="3577" w:type="pct"/>
            <w:gridSpan w:val="14"/>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中交第三航务工程局有限公司（一标路基）</w:t>
            </w:r>
          </w:p>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中铁十八局集团有限公司（二标路基）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szCs w:val="21"/>
              </w:rPr>
              <w:t>监理单位</w:t>
            </w:r>
          </w:p>
        </w:tc>
        <w:tc>
          <w:tcPr>
            <w:tcW w:w="3577" w:type="pct"/>
            <w:gridSpan w:val="14"/>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余姚交通工程咨询监理有限公司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监测单位</w:t>
            </w:r>
          </w:p>
        </w:tc>
        <w:tc>
          <w:tcPr>
            <w:tcW w:w="3577" w:type="pct"/>
            <w:gridSpan w:val="14"/>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浙江</w:t>
            </w:r>
            <w:r>
              <w:rPr>
                <w:rFonts w:hint="eastAsia" w:ascii="Times New Roman" w:hAnsi="Times New Roman" w:eastAsia="宋体" w:cs="Times New Roman"/>
                <w:color w:val="auto"/>
                <w:szCs w:val="21"/>
                <w:highlight w:val="none"/>
                <w:lang w:val="en-US" w:eastAsia="zh-CN"/>
              </w:rPr>
              <w:t>诚德检测研究</w:t>
            </w:r>
            <w:r>
              <w:rPr>
                <w:rFonts w:hint="default" w:ascii="Times New Roman" w:hAnsi="Times New Roman" w:eastAsia="宋体" w:cs="Times New Roman"/>
                <w:color w:val="auto"/>
                <w:szCs w:val="21"/>
                <w:highlight w:val="none"/>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投资总概算（万元）</w:t>
            </w:r>
          </w:p>
        </w:tc>
        <w:tc>
          <w:tcPr>
            <w:tcW w:w="952" w:type="pct"/>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73887.3</w:t>
            </w:r>
          </w:p>
        </w:tc>
        <w:tc>
          <w:tcPr>
            <w:tcW w:w="784" w:type="pct"/>
            <w:gridSpan w:val="5"/>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环境保护投资概算（万元）</w:t>
            </w:r>
          </w:p>
        </w:tc>
        <w:tc>
          <w:tcPr>
            <w:tcW w:w="621" w:type="pct"/>
            <w:gridSpan w:val="3"/>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w:t>
            </w:r>
          </w:p>
        </w:tc>
        <w:tc>
          <w:tcPr>
            <w:tcW w:w="745" w:type="pct"/>
            <w:gridSpan w:val="4"/>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环境保护投资占工程建设比例</w:t>
            </w:r>
          </w:p>
        </w:tc>
        <w:tc>
          <w:tcPr>
            <w:tcW w:w="473" w:type="pct"/>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I、II标段工程实际总投资（万元）</w:t>
            </w:r>
          </w:p>
        </w:tc>
        <w:tc>
          <w:tcPr>
            <w:tcW w:w="952" w:type="pct"/>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38574.1</w:t>
            </w:r>
          </w:p>
        </w:tc>
        <w:tc>
          <w:tcPr>
            <w:tcW w:w="784" w:type="pct"/>
            <w:gridSpan w:val="5"/>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环境保护投资（万元）</w:t>
            </w:r>
          </w:p>
        </w:tc>
        <w:tc>
          <w:tcPr>
            <w:tcW w:w="621" w:type="pct"/>
            <w:gridSpan w:val="3"/>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462</w:t>
            </w:r>
          </w:p>
        </w:tc>
        <w:tc>
          <w:tcPr>
            <w:tcW w:w="745" w:type="pct"/>
            <w:gridSpan w:val="4"/>
            <w:vMerge w:val="continue"/>
            <w:vAlign w:val="center"/>
          </w:tcPr>
          <w:p>
            <w:pPr>
              <w:jc w:val="center"/>
              <w:rPr>
                <w:rFonts w:hint="default" w:ascii="Times New Roman" w:hAnsi="Times New Roman" w:eastAsia="宋体" w:cs="Times New Roman"/>
                <w:color w:val="auto"/>
                <w:szCs w:val="21"/>
                <w:highlight w:val="none"/>
              </w:rPr>
            </w:pPr>
          </w:p>
        </w:tc>
        <w:tc>
          <w:tcPr>
            <w:tcW w:w="473" w:type="pct"/>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szCs w:val="21"/>
                <w:highlight w:val="none"/>
              </w:rPr>
              <w:t>I、II标段工程</w:t>
            </w:r>
            <w:r>
              <w:rPr>
                <w:rFonts w:hint="default" w:ascii="Times New Roman" w:hAnsi="Times New Roman" w:eastAsia="宋体" w:cs="Times New Roman"/>
                <w:b w:val="0"/>
                <w:bCs w:val="0"/>
                <w:color w:val="auto"/>
                <w:sz w:val="21"/>
                <w:szCs w:val="21"/>
                <w:vertAlign w:val="baseline"/>
                <w:lang w:val="en-US" w:eastAsia="zh-CN"/>
              </w:rPr>
              <w:t>设计生产能力（交通量）</w:t>
            </w:r>
          </w:p>
        </w:tc>
        <w:tc>
          <w:tcPr>
            <w:tcW w:w="952" w:type="pct"/>
            <w:vAlign w:val="center"/>
          </w:tcPr>
          <w:p>
            <w:pPr>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highlight w:val="none"/>
                <w:lang w:val="en-US" w:eastAsia="zh-CN"/>
              </w:rPr>
              <w:t>36260</w:t>
            </w:r>
            <w:r>
              <w:rPr>
                <w:rFonts w:hint="default" w:ascii="Times New Roman" w:hAnsi="Times New Roman" w:eastAsia="宋体" w:cs="Times New Roman"/>
                <w:b w:val="0"/>
                <w:bCs w:val="0"/>
                <w:color w:val="auto"/>
                <w:sz w:val="21"/>
                <w:szCs w:val="21"/>
                <w:vertAlign w:val="baseline"/>
                <w:lang w:val="en-US" w:eastAsia="zh-CN"/>
              </w:rPr>
              <w:t>pcu/</w:t>
            </w:r>
            <w:r>
              <w:rPr>
                <w:rFonts w:hint="eastAsia" w:ascii="Times New Roman" w:hAnsi="Times New Roman" w:eastAsia="宋体" w:cs="Times New Roman"/>
                <w:b w:val="0"/>
                <w:bCs w:val="0"/>
                <w:color w:val="auto"/>
                <w:sz w:val="21"/>
                <w:szCs w:val="21"/>
                <w:vertAlign w:val="baseline"/>
                <w:lang w:val="en-US" w:eastAsia="zh-CN"/>
              </w:rPr>
              <w:t>d（2024）</w:t>
            </w:r>
          </w:p>
        </w:tc>
        <w:tc>
          <w:tcPr>
            <w:tcW w:w="1406" w:type="pct"/>
            <w:gridSpan w:val="8"/>
            <w:vAlign w:val="center"/>
          </w:tcPr>
          <w:p>
            <w:pPr>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建设项目开工日期</w:t>
            </w:r>
          </w:p>
        </w:tc>
        <w:tc>
          <w:tcPr>
            <w:tcW w:w="1218" w:type="pct"/>
            <w:gridSpan w:val="5"/>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2010年</w:t>
            </w:r>
            <w:r>
              <w:rPr>
                <w:rFonts w:hint="eastAsia" w:ascii="Times New Roman" w:hAnsi="Times New Roman" w:eastAsia="宋体" w:cs="Times New Roman"/>
                <w:b w:val="0"/>
                <w:bCs w:val="0"/>
                <w:sz w:val="21"/>
                <w:szCs w:val="21"/>
                <w:vertAlign w:val="baseline"/>
                <w:lang w:val="en-US" w:eastAsia="zh-CN"/>
              </w:rPr>
              <w:t>12</w:t>
            </w:r>
            <w:r>
              <w:rPr>
                <w:rFonts w:hint="default" w:ascii="Times New Roman" w:hAnsi="Times New Roman" w:eastAsia="宋体" w:cs="Times New Roman"/>
                <w:b w:val="0"/>
                <w:bCs w:val="0"/>
                <w:sz w:val="21"/>
                <w:szCs w:val="21"/>
                <w:vertAlign w:val="baseli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color w:val="auto"/>
                <w:szCs w:val="21"/>
                <w:highlight w:val="none"/>
              </w:rPr>
              <w:t>I、II标段工程</w:t>
            </w:r>
            <w:r>
              <w:rPr>
                <w:rFonts w:hint="default" w:ascii="Times New Roman" w:hAnsi="Times New Roman" w:eastAsia="宋体" w:cs="Times New Roman"/>
                <w:b w:val="0"/>
                <w:bCs w:val="0"/>
                <w:sz w:val="21"/>
                <w:szCs w:val="21"/>
                <w:vertAlign w:val="baseline"/>
                <w:lang w:val="en-US" w:eastAsia="zh-CN"/>
              </w:rPr>
              <w:t>实际生产能力（交通量）</w:t>
            </w:r>
          </w:p>
        </w:tc>
        <w:tc>
          <w:tcPr>
            <w:tcW w:w="952" w:type="pct"/>
            <w:vAlign w:val="center"/>
          </w:tcPr>
          <w:p>
            <w:pPr>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olor w:val="auto"/>
                <w:lang w:val="en-US" w:eastAsia="zh-CN"/>
              </w:rPr>
              <w:t>35077</w:t>
            </w:r>
            <w:r>
              <w:rPr>
                <w:rFonts w:hint="default" w:ascii="Times New Roman" w:hAnsi="Times New Roman" w:eastAsia="宋体" w:cs="Times New Roman"/>
                <w:b w:val="0"/>
                <w:bCs w:val="0"/>
                <w:color w:val="auto"/>
                <w:sz w:val="21"/>
                <w:szCs w:val="21"/>
                <w:vertAlign w:val="baseline"/>
                <w:lang w:val="en-US" w:eastAsia="zh-CN"/>
              </w:rPr>
              <w:t>pcu/</w:t>
            </w:r>
            <w:r>
              <w:rPr>
                <w:rFonts w:hint="eastAsia" w:ascii="Times New Roman" w:hAnsi="Times New Roman" w:eastAsia="宋体" w:cs="Times New Roman"/>
                <w:b w:val="0"/>
                <w:bCs w:val="0"/>
                <w:color w:val="auto"/>
                <w:sz w:val="21"/>
                <w:szCs w:val="21"/>
                <w:vertAlign w:val="baseline"/>
                <w:lang w:val="en-US" w:eastAsia="zh-CN"/>
              </w:rPr>
              <w:t>d（2024）</w:t>
            </w:r>
          </w:p>
        </w:tc>
        <w:tc>
          <w:tcPr>
            <w:tcW w:w="1406" w:type="pct"/>
            <w:gridSpan w:val="8"/>
            <w:vAlign w:val="center"/>
          </w:tcPr>
          <w:p>
            <w:pPr>
              <w:jc w:val="left"/>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投入试运行日期</w:t>
            </w:r>
          </w:p>
        </w:tc>
        <w:tc>
          <w:tcPr>
            <w:tcW w:w="1218" w:type="pct"/>
            <w:gridSpan w:val="5"/>
            <w:vAlign w:val="center"/>
          </w:tcPr>
          <w:p>
            <w:pPr>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w:t>
            </w:r>
            <w:r>
              <w:rPr>
                <w:rFonts w:hint="eastAsia" w:ascii="Times New Roman" w:hAnsi="Times New Roman" w:eastAsia="宋体" w:cs="Times New Roman"/>
                <w:b w:val="0"/>
                <w:bCs w:val="0"/>
                <w:sz w:val="21"/>
                <w:szCs w:val="21"/>
                <w:vertAlign w:val="baseline"/>
                <w:lang w:val="en-US" w:eastAsia="zh-CN"/>
              </w:rPr>
              <w:t>21</w:t>
            </w:r>
            <w:r>
              <w:rPr>
                <w:rFonts w:hint="default" w:ascii="Times New Roman" w:hAnsi="Times New Roman" w:eastAsia="宋体" w:cs="Times New Roman"/>
                <w:b w:val="0"/>
                <w:bCs w:val="0"/>
                <w:sz w:val="21"/>
                <w:szCs w:val="21"/>
                <w:vertAlign w:val="baseline"/>
                <w:lang w:val="en-US" w:eastAsia="zh-CN"/>
              </w:rPr>
              <w:t>年</w:t>
            </w:r>
            <w:r>
              <w:rPr>
                <w:rFonts w:hint="eastAsia" w:ascii="Times New Roman" w:hAnsi="Times New Roman" w:eastAsia="宋体" w:cs="Times New Roman"/>
                <w:b w:val="0"/>
                <w:bCs w:val="0"/>
                <w:sz w:val="21"/>
                <w:szCs w:val="21"/>
                <w:vertAlign w:val="baseline"/>
                <w:lang w:val="en-US" w:eastAsia="zh-CN"/>
              </w:rPr>
              <w:t>12</w:t>
            </w:r>
            <w:r>
              <w:rPr>
                <w:rFonts w:hint="default" w:ascii="Times New Roman" w:hAnsi="Times New Roman" w:eastAsia="宋体" w:cs="Times New Roman"/>
                <w:b w:val="0"/>
                <w:bCs w:val="0"/>
                <w:sz w:val="21"/>
                <w:szCs w:val="21"/>
                <w:vertAlign w:val="baseli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调查经费</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3" w:hRule="atLeast"/>
          <w:jc w:val="center"/>
        </w:trPr>
        <w:tc>
          <w:tcPr>
            <w:tcW w:w="1422" w:type="pct"/>
            <w:vAlign w:val="center"/>
          </w:tcPr>
          <w:p>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项目建设过程简述</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highlight w:val="none"/>
              </w:rPr>
              <w:t>（项目立项~试运行）</w:t>
            </w:r>
          </w:p>
        </w:tc>
        <w:tc>
          <w:tcPr>
            <w:tcW w:w="3577" w:type="pct"/>
            <w:gridSpan w:val="14"/>
            <w:vAlign w:val="center"/>
          </w:tcPr>
          <w:p>
            <w:pPr>
              <w:pStyle w:val="23"/>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1</w:t>
            </w:r>
            <w:r>
              <w:rPr>
                <w:rFonts w:hint="default" w:ascii="Times New Roman" w:hAnsi="Times New Roman" w:cs="Times New Roman"/>
                <w:lang w:val="en-US" w:eastAsia="zh-CN"/>
              </w:rPr>
              <w:t>）</w:t>
            </w:r>
            <w:r>
              <w:rPr>
                <w:rFonts w:hint="eastAsia" w:ascii="Times New Roman" w:hAnsi="Times New Roman" w:cs="Times New Roman"/>
                <w:lang w:val="en-US" w:eastAsia="zh-CN"/>
              </w:rPr>
              <w:t>2008</w:t>
            </w:r>
            <w:r>
              <w:rPr>
                <w:rFonts w:hint="default" w:ascii="Times New Roman" w:hAnsi="Times New Roman" w:cs="Times New Roman"/>
                <w:lang w:val="en-US" w:eastAsia="zh-CN"/>
              </w:rPr>
              <w:t>年</w:t>
            </w:r>
            <w:r>
              <w:rPr>
                <w:rFonts w:hint="eastAsia" w:ascii="Times New Roman" w:hAnsi="Times New Roman" w:cs="Times New Roman"/>
                <w:lang w:val="en-US" w:eastAsia="zh-CN"/>
              </w:rPr>
              <w:t>5</w:t>
            </w:r>
            <w:r>
              <w:rPr>
                <w:rFonts w:hint="default" w:ascii="Times New Roman" w:hAnsi="Times New Roman" w:cs="Times New Roman"/>
                <w:lang w:val="en-US" w:eastAsia="zh-CN"/>
              </w:rPr>
              <w:t>月</w:t>
            </w:r>
            <w:r>
              <w:rPr>
                <w:rFonts w:hint="eastAsia" w:ascii="Times New Roman" w:hAnsi="Times New Roman" w:cs="Times New Roman"/>
                <w:lang w:val="en-US" w:eastAsia="zh-CN"/>
              </w:rPr>
              <w:t>19</w:t>
            </w:r>
            <w:r>
              <w:rPr>
                <w:rFonts w:hint="default" w:ascii="Times New Roman" w:hAnsi="Times New Roman" w:cs="Times New Roman"/>
                <w:lang w:val="en-US" w:eastAsia="zh-CN"/>
              </w:rPr>
              <w:t>日</w:t>
            </w:r>
            <w:r>
              <w:rPr>
                <w:rFonts w:hint="eastAsia" w:ascii="Times New Roman" w:hAnsi="Times New Roman" w:cs="Times New Roman"/>
                <w:lang w:val="en-US" w:eastAsia="zh-CN"/>
              </w:rPr>
              <w:t>，</w:t>
            </w:r>
            <w:r>
              <w:rPr>
                <w:rFonts w:hint="default" w:ascii="Times New Roman" w:hAnsi="Times New Roman" w:cs="Times New Roman"/>
                <w:lang w:val="en-US" w:eastAsia="zh-CN"/>
              </w:rPr>
              <w:t>取得余梁公路北延工程</w:t>
            </w:r>
            <w:r>
              <w:rPr>
                <w:rFonts w:hint="eastAsia" w:ascii="Times New Roman" w:hAnsi="Times New Roman" w:cs="Times New Roman"/>
                <w:lang w:val="en-US" w:eastAsia="zh-CN"/>
              </w:rPr>
              <w:t>项目</w:t>
            </w:r>
            <w:r>
              <w:rPr>
                <w:rFonts w:hint="default" w:ascii="Times New Roman" w:hAnsi="Times New Roman" w:cs="Times New Roman"/>
                <w:lang w:val="en-US" w:eastAsia="zh-CN"/>
              </w:rPr>
              <w:t>建设</w:t>
            </w:r>
            <w:r>
              <w:rPr>
                <w:rFonts w:hint="eastAsia" w:ascii="Times New Roman" w:hAnsi="Times New Roman" w:cs="Times New Roman"/>
                <w:lang w:val="en-US" w:eastAsia="zh-CN"/>
              </w:rPr>
              <w:t>项目选址意见书，</w:t>
            </w:r>
            <w:r>
              <w:rPr>
                <w:rFonts w:hint="default" w:ascii="Times New Roman" w:hAnsi="Times New Roman" w:cs="Times New Roman"/>
                <w:lang w:val="en-US" w:eastAsia="zh-CN"/>
              </w:rPr>
              <w:t>编号</w:t>
            </w:r>
            <w:r>
              <w:rPr>
                <w:rFonts w:hint="eastAsia" w:ascii="Times New Roman" w:hAnsi="Times New Roman" w:cs="Times New Roman"/>
                <w:lang w:val="en-US" w:eastAsia="zh-CN"/>
              </w:rPr>
              <w:t>（2008）浙规（选）证0210044；</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建设单位委托</w:t>
            </w:r>
            <w:r>
              <w:rPr>
                <w:rFonts w:hint="eastAsia" w:ascii="Times New Roman" w:hAnsi="Times New Roman" w:eastAsia="宋体" w:cs="Times New Roman"/>
                <w:color w:val="auto"/>
                <w:szCs w:val="21"/>
                <w:highlight w:val="none"/>
                <w:lang w:val="en-US" w:eastAsia="zh-CN"/>
              </w:rPr>
              <w:t>原</w:t>
            </w:r>
            <w:r>
              <w:rPr>
                <w:rFonts w:hint="default" w:ascii="Times New Roman" w:hAnsi="Times New Roman" w:eastAsia="宋体" w:cs="Times New Roman"/>
                <w:color w:val="auto"/>
                <w:szCs w:val="21"/>
                <w:highlight w:val="none"/>
                <w:lang w:val="en-US" w:eastAsia="zh-CN"/>
              </w:rPr>
              <w:t>宁波市环境保护科学研究设计院编制完成了《</w:t>
            </w:r>
            <w:r>
              <w:rPr>
                <w:rFonts w:hint="eastAsia" w:ascii="Times New Roman" w:hAnsi="Times New Roman" w:eastAsia="宋体" w:cs="Times New Roman"/>
                <w:color w:val="auto"/>
                <w:szCs w:val="21"/>
                <w:highlight w:val="none"/>
                <w:lang w:val="en-US" w:eastAsia="zh-CN"/>
              </w:rPr>
              <w:t>余姚市余梁公路北延工程建设项目</w:t>
            </w:r>
            <w:r>
              <w:rPr>
                <w:rFonts w:hint="default" w:ascii="Times New Roman" w:hAnsi="Times New Roman" w:eastAsia="宋体" w:cs="Times New Roman"/>
                <w:color w:val="auto"/>
                <w:szCs w:val="21"/>
                <w:highlight w:val="none"/>
                <w:lang w:val="en-US" w:eastAsia="zh-CN"/>
              </w:rPr>
              <w:t>环境影响报告表》；</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default" w:ascii="Times New Roman" w:hAnsi="Times New Roman" w:eastAsia="宋体" w:cs="Times New Roman"/>
                <w:color w:val="auto"/>
                <w:szCs w:val="21"/>
                <w:highlight w:val="none"/>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rPr>
              <w:t>年9月</w:t>
            </w:r>
            <w:r>
              <w:rPr>
                <w:rFonts w:hint="eastAsia" w:ascii="Times New Roman" w:hAnsi="Times New Roman" w:eastAsia="宋体" w:cs="Times New Roman"/>
                <w:color w:val="auto"/>
                <w:szCs w:val="21"/>
                <w:highlight w:val="none"/>
                <w:lang w:val="en-US" w:eastAsia="zh-CN"/>
              </w:rPr>
              <w:t>18</w:t>
            </w:r>
            <w:r>
              <w:rPr>
                <w:rFonts w:hint="default" w:ascii="Times New Roman" w:hAnsi="Times New Roman" w:eastAsia="宋体" w:cs="Times New Roman"/>
                <w:color w:val="auto"/>
                <w:szCs w:val="21"/>
                <w:highlight w:val="none"/>
              </w:rPr>
              <w:t>日</w:t>
            </w:r>
            <w:r>
              <w:rPr>
                <w:rFonts w:hint="eastAsia" w:ascii="Times New Roman" w:hAnsi="Times New Roman" w:cs="Times New Roman"/>
                <w:lang w:val="en-US" w:eastAsia="zh-CN"/>
              </w:rPr>
              <w:t>，</w:t>
            </w:r>
            <w:r>
              <w:rPr>
                <w:rFonts w:hint="eastAsia" w:ascii="Times New Roman" w:hAnsi="Times New Roman" w:eastAsia="宋体" w:cs="Times New Roman"/>
                <w:color w:val="auto"/>
                <w:szCs w:val="21"/>
                <w:highlight w:val="none"/>
                <w:lang w:val="en-US" w:eastAsia="zh-CN"/>
              </w:rPr>
              <w:t>原余姚市</w:t>
            </w:r>
            <w:r>
              <w:rPr>
                <w:rFonts w:hint="default" w:ascii="Times New Roman" w:hAnsi="Times New Roman" w:eastAsia="宋体" w:cs="Times New Roman"/>
                <w:color w:val="auto"/>
                <w:szCs w:val="21"/>
                <w:highlight w:val="none"/>
              </w:rPr>
              <w:t>环境保护局</w:t>
            </w:r>
            <w:r>
              <w:rPr>
                <w:rFonts w:hint="default" w:ascii="Times New Roman" w:hAnsi="Times New Roman" w:cs="Times New Roman"/>
                <w:lang w:val="en-US" w:eastAsia="zh-CN"/>
              </w:rPr>
              <w:t>以“</w:t>
            </w:r>
            <w:r>
              <w:rPr>
                <w:rFonts w:hint="eastAsia" w:ascii="Times New Roman" w:hAnsi="Times New Roman" w:eastAsia="宋体" w:cs="Times New Roman"/>
                <w:color w:val="auto"/>
                <w:szCs w:val="21"/>
                <w:highlight w:val="none"/>
                <w:lang w:val="en-US" w:eastAsia="zh-CN"/>
              </w:rPr>
              <w:t>余环建</w:t>
            </w:r>
            <w:r>
              <w:rPr>
                <w:rFonts w:hint="default" w:ascii="Times New Roman" w:hAnsi="Times New Roman" w:eastAsia="宋体" w:cs="Times New Roman"/>
                <w:color w:val="auto"/>
                <w:szCs w:val="21"/>
                <w:highlight w:val="none"/>
                <w:lang w:val="en-US" w:eastAsia="zh-CN"/>
              </w:rPr>
              <w:t>〔2008〕3</w:t>
            </w:r>
            <w:r>
              <w:rPr>
                <w:rFonts w:hint="eastAsia"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rPr>
              <w:t>号</w:t>
            </w:r>
            <w:r>
              <w:rPr>
                <w:rFonts w:hint="default" w:ascii="Times New Roman" w:hAnsi="Times New Roman" w:cs="Times New Roman"/>
                <w:lang w:val="en-US" w:eastAsia="zh-CN"/>
              </w:rPr>
              <w:t>”</w:t>
            </w:r>
            <w:r>
              <w:rPr>
                <w:rFonts w:hint="default" w:ascii="Times New Roman" w:hAnsi="Times New Roman" w:eastAsia="宋体" w:cs="Times New Roman"/>
                <w:color w:val="auto"/>
                <w:szCs w:val="21"/>
                <w:highlight w:val="none"/>
                <w:lang w:val="en-US" w:eastAsia="zh-CN"/>
              </w:rPr>
              <w:t>文对本项目予以批复；</w:t>
            </w:r>
          </w:p>
          <w:p>
            <w:pPr>
              <w:pStyle w:val="23"/>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lang w:val="en-US" w:eastAsia="zh-CN"/>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8日</w:t>
            </w:r>
            <w:r>
              <w:rPr>
                <w:rFonts w:hint="eastAsia" w:ascii="Times New Roman" w:hAnsi="Times New Roman" w:eastAsia="宋体" w:cs="Times New Roman"/>
                <w:color w:val="auto"/>
                <w:szCs w:val="21"/>
                <w:highlight w:val="none"/>
                <w:lang w:val="en-US" w:eastAsia="zh-CN"/>
              </w:rPr>
              <w:t>，原宁波市发展和改革委员会以“</w:t>
            </w:r>
            <w:r>
              <w:rPr>
                <w:rFonts w:hint="default" w:ascii="Times New Roman" w:hAnsi="Times New Roman" w:eastAsia="宋体" w:cs="Times New Roman"/>
                <w:color w:val="auto"/>
                <w:szCs w:val="21"/>
                <w:highlight w:val="none"/>
                <w:lang w:val="en-US" w:eastAsia="zh-CN"/>
              </w:rPr>
              <w:t>甬发改交通〔2008〕328号</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文对本项目予以批复</w:t>
            </w:r>
            <w:r>
              <w:rPr>
                <w:rFonts w:hint="eastAsia" w:ascii="Times New Roman" w:hAnsi="Times New Roman" w:eastAsia="宋体" w:cs="Times New Roman"/>
                <w:color w:val="auto"/>
                <w:szCs w:val="21"/>
                <w:highlight w:val="none"/>
                <w:lang w:val="en-US" w:eastAsia="zh-CN"/>
              </w:rPr>
              <w:t>；</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）20</w:t>
            </w:r>
            <w:r>
              <w:rPr>
                <w:rFonts w:hint="eastAsia" w:ascii="Times New Roman" w:hAnsi="Times New Roman" w:eastAsia="宋体" w:cs="Times New Roman"/>
                <w:color w:val="auto"/>
                <w:szCs w:val="21"/>
                <w:highlight w:val="none"/>
                <w:lang w:val="en-US" w:eastAsia="zh-CN"/>
              </w:rPr>
              <w:t>09</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26</w:t>
            </w:r>
            <w:r>
              <w:rPr>
                <w:rFonts w:hint="default" w:ascii="Times New Roman" w:hAnsi="Times New Roman" w:eastAsia="宋体" w:cs="Times New Roman"/>
                <w:color w:val="auto"/>
                <w:szCs w:val="21"/>
                <w:highlight w:val="none"/>
                <w:lang w:val="en-US" w:eastAsia="zh-CN"/>
              </w:rPr>
              <w:t>日</w:t>
            </w:r>
            <w:r>
              <w:rPr>
                <w:rFonts w:hint="eastAsia" w:ascii="Times New Roman" w:hAnsi="Times New Roman" w:eastAsia="宋体" w:cs="Times New Roman"/>
                <w:color w:val="auto"/>
                <w:szCs w:val="21"/>
                <w:highlight w:val="none"/>
                <w:lang w:val="en-US" w:eastAsia="zh-CN"/>
              </w:rPr>
              <w:t>，宁波市国土资源局以“</w:t>
            </w:r>
            <w:r>
              <w:rPr>
                <w:rFonts w:hint="default" w:ascii="Times New Roman" w:hAnsi="Times New Roman" w:eastAsia="宋体" w:cs="Times New Roman"/>
                <w:color w:val="auto"/>
                <w:szCs w:val="21"/>
                <w:highlight w:val="none"/>
                <w:lang w:val="en-US" w:eastAsia="zh-CN"/>
              </w:rPr>
              <w:t>甬</w:t>
            </w:r>
            <w:r>
              <w:rPr>
                <w:rFonts w:hint="eastAsia" w:ascii="Times New Roman" w:hAnsi="Times New Roman" w:eastAsia="宋体" w:cs="Times New Roman"/>
                <w:color w:val="auto"/>
                <w:szCs w:val="21"/>
                <w:highlight w:val="none"/>
                <w:lang w:val="en-US" w:eastAsia="zh-CN"/>
              </w:rPr>
              <w:t>土资预</w:t>
            </w:r>
            <w:r>
              <w:rPr>
                <w:rFonts w:hint="default" w:ascii="Times New Roman" w:hAnsi="Times New Roman" w:eastAsia="宋体" w:cs="Times New Roman"/>
                <w:color w:val="auto"/>
                <w:szCs w:val="21"/>
                <w:highlight w:val="none"/>
                <w:lang w:val="en-US" w:eastAsia="zh-CN"/>
              </w:rPr>
              <w:t>〔200</w:t>
            </w:r>
            <w:r>
              <w:rPr>
                <w:rFonts w:hint="eastAsia"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13</w:t>
            </w:r>
            <w:r>
              <w:rPr>
                <w:rFonts w:hint="default" w:ascii="Times New Roman" w:hAnsi="Times New Roman" w:eastAsia="宋体" w:cs="Times New Roman"/>
                <w:color w:val="auto"/>
                <w:szCs w:val="21"/>
                <w:highlight w:val="none"/>
                <w:lang w:val="en-US" w:eastAsia="zh-CN"/>
              </w:rPr>
              <w:t>号</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文对余梁公路北延工程建设项目用地</w:t>
            </w:r>
            <w:r>
              <w:rPr>
                <w:rFonts w:hint="eastAsia" w:ascii="Times New Roman" w:hAnsi="Times New Roman" w:eastAsia="宋体" w:cs="Times New Roman"/>
                <w:color w:val="auto"/>
                <w:szCs w:val="21"/>
                <w:highlight w:val="none"/>
                <w:lang w:val="en-US" w:eastAsia="zh-CN"/>
              </w:rPr>
              <w:t>提出预审意见</w:t>
            </w:r>
            <w:r>
              <w:rPr>
                <w:rFonts w:hint="default" w:ascii="Times New Roman" w:hAnsi="Times New Roman" w:eastAsia="宋体" w:cs="Times New Roman"/>
                <w:color w:val="auto"/>
                <w:szCs w:val="21"/>
                <w:highlight w:val="none"/>
                <w:lang w:val="en-US" w:eastAsia="zh-CN"/>
              </w:rPr>
              <w:t>；</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2009</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lang w:val="en-US" w:eastAsia="zh-CN"/>
              </w:rPr>
              <w:t>日</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取得余梁公路北延工程</w:t>
            </w:r>
            <w:r>
              <w:rPr>
                <w:rFonts w:hint="eastAsia" w:ascii="Times New Roman" w:hAnsi="Times New Roman" w:eastAsia="宋体" w:cs="Times New Roman"/>
                <w:color w:val="auto"/>
                <w:szCs w:val="21"/>
                <w:highlight w:val="none"/>
                <w:lang w:val="en-US" w:eastAsia="zh-CN"/>
              </w:rPr>
              <w:t>项目</w:t>
            </w:r>
            <w:r>
              <w:rPr>
                <w:rFonts w:hint="default" w:ascii="Times New Roman" w:hAnsi="Times New Roman" w:eastAsia="宋体" w:cs="Times New Roman"/>
                <w:color w:val="auto"/>
                <w:szCs w:val="21"/>
                <w:highlight w:val="none"/>
                <w:lang w:val="en-US" w:eastAsia="zh-CN"/>
              </w:rPr>
              <w:t>建设</w:t>
            </w:r>
            <w:r>
              <w:rPr>
                <w:rFonts w:hint="eastAsia" w:ascii="Times New Roman" w:hAnsi="Times New Roman" w:eastAsia="宋体" w:cs="Times New Roman"/>
                <w:color w:val="auto"/>
                <w:szCs w:val="21"/>
                <w:highlight w:val="none"/>
                <w:lang w:val="en-US" w:eastAsia="zh-CN"/>
              </w:rPr>
              <w:t>用地</w:t>
            </w:r>
            <w:r>
              <w:rPr>
                <w:rFonts w:hint="default" w:ascii="Times New Roman" w:hAnsi="Times New Roman" w:eastAsia="宋体" w:cs="Times New Roman"/>
                <w:color w:val="auto"/>
                <w:szCs w:val="21"/>
                <w:highlight w:val="none"/>
                <w:lang w:val="en-US" w:eastAsia="zh-CN"/>
              </w:rPr>
              <w:t>规划许可证</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编号</w:t>
            </w:r>
            <w:r>
              <w:rPr>
                <w:rFonts w:hint="eastAsia" w:ascii="Times New Roman" w:hAnsi="Times New Roman" w:eastAsia="宋体" w:cs="Times New Roman"/>
                <w:color w:val="auto"/>
                <w:szCs w:val="21"/>
                <w:highlight w:val="none"/>
                <w:lang w:val="en-US" w:eastAsia="zh-CN"/>
              </w:rPr>
              <w:t>（2009）浙规（地）证0210073；</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）20</w:t>
            </w:r>
            <w:r>
              <w:rPr>
                <w:rFonts w:hint="eastAsia" w:ascii="Times New Roman" w:hAnsi="Times New Roman" w:eastAsia="宋体" w:cs="Times New Roman"/>
                <w:color w:val="auto"/>
                <w:szCs w:val="21"/>
                <w:highlight w:val="none"/>
                <w:lang w:val="en-US" w:eastAsia="zh-CN"/>
              </w:rPr>
              <w:t>09</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11</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lang w:val="en-US" w:eastAsia="zh-CN"/>
              </w:rPr>
              <w:t>日</w:t>
            </w:r>
            <w:r>
              <w:rPr>
                <w:rFonts w:hint="eastAsia" w:ascii="Times New Roman" w:hAnsi="Times New Roman" w:eastAsia="宋体" w:cs="Times New Roman"/>
                <w:color w:val="auto"/>
                <w:szCs w:val="21"/>
                <w:highlight w:val="none"/>
                <w:lang w:val="en-US" w:eastAsia="zh-CN"/>
              </w:rPr>
              <w:t>，原宁波市发展和改革委员会以“</w:t>
            </w:r>
            <w:r>
              <w:rPr>
                <w:rFonts w:hint="default" w:ascii="Times New Roman" w:hAnsi="Times New Roman" w:eastAsia="宋体" w:cs="Times New Roman"/>
                <w:color w:val="auto"/>
                <w:szCs w:val="21"/>
                <w:highlight w:val="none"/>
                <w:lang w:val="en-US" w:eastAsia="zh-CN"/>
              </w:rPr>
              <w:t>甬发改</w:t>
            </w:r>
            <w:r>
              <w:rPr>
                <w:rFonts w:hint="eastAsia" w:ascii="Times New Roman" w:hAnsi="Times New Roman" w:eastAsia="宋体" w:cs="Times New Roman"/>
                <w:color w:val="auto"/>
                <w:szCs w:val="21"/>
                <w:highlight w:val="none"/>
                <w:lang w:val="en-US" w:eastAsia="zh-CN"/>
              </w:rPr>
              <w:t>审批</w:t>
            </w:r>
            <w:r>
              <w:rPr>
                <w:rFonts w:hint="default" w:ascii="Times New Roman" w:hAnsi="Times New Roman" w:eastAsia="宋体" w:cs="Times New Roman"/>
                <w:color w:val="auto"/>
                <w:szCs w:val="21"/>
                <w:highlight w:val="none"/>
                <w:lang w:val="en-US" w:eastAsia="zh-CN"/>
              </w:rPr>
              <w:t>〔200</w:t>
            </w:r>
            <w:r>
              <w:rPr>
                <w:rFonts w:hint="eastAsia"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620</w:t>
            </w:r>
            <w:r>
              <w:rPr>
                <w:rFonts w:hint="default" w:ascii="Times New Roman" w:hAnsi="Times New Roman" w:eastAsia="宋体" w:cs="Times New Roman"/>
                <w:color w:val="auto"/>
                <w:szCs w:val="21"/>
                <w:highlight w:val="none"/>
                <w:lang w:val="en-US" w:eastAsia="zh-CN"/>
              </w:rPr>
              <w:t>号</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文对余梁公路北延工程初步设计予以批复；</w:t>
            </w:r>
          </w:p>
          <w:p>
            <w:pPr>
              <w:pStyle w:val="23"/>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（8）余梁公路北延工程（K0+000-K1+860段）一期于2010年12月开工,于2015年5月完成；余梁公路北延工程（K1+860-K3+100段）二期于2018年5月开工，于2021年6月完工。</w:t>
            </w:r>
          </w:p>
          <w:p>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pPr>
          </w:p>
        </w:tc>
      </w:tr>
    </w:tbl>
    <w:p>
      <w:pPr>
        <w:pStyle w:val="3"/>
        <w:rPr>
          <w:rFonts w:hint="default" w:ascii="Times New Roman" w:hAnsi="Times New Roman" w:cs="Times New Roman"/>
          <w:color w:val="auto"/>
          <w:highlight w:val="none"/>
        </w:rPr>
      </w:pPr>
      <w:bookmarkStart w:id="1" w:name="_Toc25337"/>
      <w:r>
        <w:rPr>
          <w:rFonts w:hint="default" w:ascii="Times New Roman" w:hAnsi="Times New Roman" w:cs="Times New Roman"/>
          <w:color w:val="auto"/>
          <w:highlight w:val="none"/>
        </w:rPr>
        <w:t>2 调查范围、因子、目标、重点</w:t>
      </w:r>
      <w:bookmarkEnd w:id="1"/>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4" w:hRule="atLeast"/>
        </w:trPr>
        <w:tc>
          <w:tcPr>
            <w:tcW w:w="310"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调查范围</w:t>
            </w:r>
          </w:p>
        </w:tc>
        <w:tc>
          <w:tcPr>
            <w:tcW w:w="4689" w:type="pct"/>
          </w:tcPr>
          <w:p>
            <w:pPr>
              <w:pStyle w:val="2"/>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根据《建设项目竣工环境保护验收技术规范 公路》（HJ552-2010）和《建设项目竣工环境保护验收技术规范 生态影响类》（HJ/T394-2007）：验收调查范围原则上与环境影响评价文件的评价范围一致；当工程实际建设内容发生变更或环境影响评价文件未能全面反映项目建设的实际生态影响和其他影响时，根据工程实际变更和实际环境影响情况，结合现场踏勘对调查范围进行适当调整。</w:t>
            </w:r>
          </w:p>
          <w:p>
            <w:pPr>
              <w:pStyle w:val="2"/>
              <w:spacing w:line="360" w:lineRule="auto"/>
              <w:ind w:firstLine="480" w:firstLineChars="200"/>
              <w:rPr>
                <w:rFonts w:hint="default" w:ascii="Times New Roman" w:hAnsi="Times New Roman" w:cs="Times New Roman"/>
                <w:color w:val="auto"/>
                <w:highlight w:val="none"/>
              </w:rPr>
            </w:pPr>
            <w:r>
              <w:rPr>
                <w:rFonts w:ascii="Times New Roman" w:hAnsi="Times New Roman" w:eastAsia="宋体" w:cs="Times New Roman"/>
                <w:kern w:val="0"/>
                <w:sz w:val="24"/>
              </w:rPr>
              <w:t>根据工程的实际建设情况，本次验收的道路不设置</w:t>
            </w:r>
            <w:r>
              <w:rPr>
                <w:rFonts w:hint="eastAsia" w:ascii="Times New Roman" w:hAnsi="Times New Roman" w:eastAsia="宋体" w:cs="Times New Roman"/>
                <w:kern w:val="0"/>
                <w:sz w:val="24"/>
              </w:rPr>
              <w:t>弃方堆场</w:t>
            </w:r>
            <w:r>
              <w:rPr>
                <w:rFonts w:ascii="Times New Roman" w:hAnsi="Times New Roman" w:eastAsia="宋体" w:cs="Times New Roman"/>
                <w:kern w:val="0"/>
                <w:sz w:val="24"/>
              </w:rPr>
              <w:t>，挖方</w:t>
            </w:r>
            <w:r>
              <w:rPr>
                <w:rFonts w:hint="eastAsia" w:ascii="Times New Roman" w:hAnsi="Times New Roman" w:eastAsia="宋体" w:cs="Times New Roman"/>
                <w:kern w:val="0"/>
                <w:sz w:val="24"/>
              </w:rPr>
              <w:t>小</w:t>
            </w:r>
            <w:r>
              <w:rPr>
                <w:rFonts w:ascii="Times New Roman" w:hAnsi="Times New Roman" w:eastAsia="宋体" w:cs="Times New Roman"/>
                <w:kern w:val="0"/>
                <w:sz w:val="24"/>
              </w:rPr>
              <w:t>于填方，</w:t>
            </w:r>
            <w:r>
              <w:rPr>
                <w:rFonts w:hint="eastAsia" w:ascii="Times New Roman" w:hAnsi="Times New Roman" w:eastAsia="宋体" w:cs="Times New Roman"/>
                <w:kern w:val="0"/>
                <w:sz w:val="24"/>
              </w:rPr>
              <w:t>项目挖方</w:t>
            </w:r>
            <w:r>
              <w:rPr>
                <w:rFonts w:ascii="Times New Roman" w:hAnsi="Times New Roman" w:eastAsia="宋体" w:cs="Times New Roman"/>
                <w:kern w:val="0"/>
                <w:sz w:val="24"/>
              </w:rPr>
              <w:t>全部回填</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无</w:t>
            </w:r>
            <w:r>
              <w:rPr>
                <w:rFonts w:ascii="Times New Roman" w:hAnsi="Times New Roman" w:eastAsia="宋体" w:cs="Times New Roman"/>
                <w:kern w:val="0"/>
                <w:sz w:val="24"/>
              </w:rPr>
              <w:t>弃方。故本次验收的调查范围为</w:t>
            </w:r>
            <w:r>
              <w:rPr>
                <w:rFonts w:hint="eastAsia" w:ascii="Times New Roman" w:hAnsi="Times New Roman" w:eastAsia="宋体" w:cs="Times New Roman"/>
                <w:kern w:val="0"/>
                <w:sz w:val="24"/>
              </w:rPr>
              <w:t>施工营地及</w:t>
            </w:r>
            <w:r>
              <w:rPr>
                <w:rFonts w:ascii="Times New Roman" w:hAnsi="Times New Roman" w:eastAsia="宋体" w:cs="Times New Roman"/>
                <w:kern w:val="0"/>
                <w:sz w:val="24"/>
              </w:rPr>
              <w:t>道路两侧</w:t>
            </w:r>
            <w:r>
              <w:rPr>
                <w:rFonts w:ascii="Times New Roman" w:hAnsi="Times New Roman" w:eastAsia="TimesNewRomanPSMT" w:cs="Times New Roman"/>
                <w:kern w:val="0"/>
                <w:sz w:val="24"/>
              </w:rPr>
              <w:t>200</w:t>
            </w:r>
            <w:r>
              <w:rPr>
                <w:rFonts w:ascii="Times New Roman" w:hAnsi="Times New Roman" w:eastAsia="宋体" w:cs="Times New Roman"/>
                <w:kern w:val="0"/>
                <w:sz w:val="24"/>
              </w:rPr>
              <w:t>米范围内的声、大气、地表水</w:t>
            </w:r>
            <w:r>
              <w:rPr>
                <w:rFonts w:hint="eastAsia" w:ascii="Times New Roman" w:hAnsi="Times New Roman" w:eastAsia="宋体" w:cs="Times New Roman"/>
                <w:kern w:val="0"/>
                <w:sz w:val="24"/>
                <w:lang w:eastAsia="zh-CN"/>
              </w:rPr>
              <w:t>、</w:t>
            </w:r>
            <w:r>
              <w:rPr>
                <w:rFonts w:ascii="Times New Roman" w:hAnsi="Times New Roman" w:eastAsia="宋体" w:cs="Times New Roman"/>
                <w:kern w:val="0"/>
                <w:sz w:val="24"/>
              </w:rPr>
              <w:t>生态环境的影响</w:t>
            </w:r>
            <w:r>
              <w:rPr>
                <w:rFonts w:hint="eastAsia" w:ascii="Times New Roman" w:hAnsi="Times New Roman" w:eastAsia="宋体" w:cs="Times New Roman"/>
                <w:kern w:val="0"/>
                <w:sz w:val="24"/>
                <w:lang w:val="en-US" w:eastAsia="zh-CN"/>
              </w:rPr>
              <w:t>及</w:t>
            </w:r>
            <w:r>
              <w:rPr>
                <w:rFonts w:hint="eastAsia" w:ascii="Times New Roman" w:hAnsi="Times New Roman" w:eastAsia="宋体" w:cs="Times New Roman"/>
                <w:kern w:val="0"/>
                <w:sz w:val="24"/>
                <w:lang w:eastAsia="zh-CN"/>
              </w:rPr>
              <w:t>跨河桥位上游100m至下游1000m以内的水域</w:t>
            </w:r>
            <w:r>
              <w:rPr>
                <w:rFonts w:ascii="Times New Roman" w:hAnsi="Times New Roman" w:eastAsia="宋体"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4" w:hRule="atLeast"/>
        </w:trPr>
        <w:tc>
          <w:tcPr>
            <w:tcW w:w="310" w:type="pct"/>
            <w:vAlign w:val="center"/>
          </w:tcPr>
          <w:p>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调查因子</w:t>
            </w:r>
          </w:p>
        </w:tc>
        <w:tc>
          <w:tcPr>
            <w:tcW w:w="4689" w:type="pct"/>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根据本项目环境影响评价文件及其审批文件</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确定本次竣工环境保护验收调查的因子为：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1）声环境（施工期、运营期）：等效连续</w:t>
            </w:r>
            <w:r>
              <w:rPr>
                <w:rFonts w:hint="eastAsia" w:ascii="Times New Roman" w:hAnsi="Times New Roman" w:eastAsia="宋体" w:cs="Times New Roman"/>
                <w:color w:val="auto"/>
                <w:kern w:val="0"/>
                <w:sz w:val="24"/>
                <w:highlight w:val="none"/>
              </w:rPr>
              <w:t>A声级</w:t>
            </w:r>
            <w:r>
              <w:rPr>
                <w:rFonts w:hint="default" w:ascii="Times New Roman" w:hAnsi="Times New Roman" w:eastAsia="宋体" w:cs="Times New Roman"/>
                <w:color w:val="auto"/>
                <w:kern w:val="0"/>
                <w:sz w:val="24"/>
                <w:highlight w:val="none"/>
              </w:rPr>
              <w:t>。</w:t>
            </w:r>
          </w:p>
          <w:p>
            <w:pPr>
              <w:pStyle w:val="23"/>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2）水环境：</w:t>
            </w:r>
            <w:r>
              <w:rPr>
                <w:rFonts w:hint="default" w:ascii="Times New Roman" w:hAnsi="Times New Roman" w:eastAsia="宋体" w:cs="Times New Roman"/>
                <w:color w:val="auto"/>
                <w:kern w:val="0"/>
                <w:highlight w:val="none"/>
              </w:rPr>
              <w:t>施工期施工废水、生活污水处置方式和去向</w:t>
            </w:r>
            <w:r>
              <w:rPr>
                <w:rFonts w:hint="eastAsia" w:ascii="Times New Roman" w:hAnsi="Times New Roman" w:eastAsia="宋体" w:cs="Times New Roman"/>
                <w:color w:val="auto"/>
                <w:kern w:val="0"/>
                <w:highlight w:val="none"/>
                <w:lang w:eastAsia="zh-CN"/>
              </w:rPr>
              <w:t>、</w:t>
            </w:r>
            <w:r>
              <w:rPr>
                <w:rFonts w:hint="eastAsia"/>
              </w:rPr>
              <w:t>临近</w:t>
            </w:r>
            <w:r>
              <w:t>或</w:t>
            </w:r>
            <w:r>
              <w:rPr>
                <w:rFonts w:hint="eastAsia"/>
              </w:rPr>
              <w:t>跨越河道</w:t>
            </w:r>
            <w:r>
              <w:t>的</w:t>
            </w:r>
            <w:r>
              <w:rPr>
                <w:rFonts w:hint="eastAsia"/>
              </w:rPr>
              <w:t>水质</w:t>
            </w:r>
            <w:r>
              <w:rPr>
                <w:rFonts w:hint="default" w:ascii="Times New Roman" w:hAnsi="Times New Roman" w:cs="Times New Roman"/>
                <w:color w:val="auto"/>
                <w:highlight w:val="none"/>
              </w:rPr>
              <w:t>。</w:t>
            </w:r>
          </w:p>
          <w:p>
            <w:pPr>
              <w:pStyle w:val="23"/>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3）大气环境：施工期施工扬尘TSP等</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营运期汽车尾气</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主要因子为CO、NO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、HC。</w:t>
            </w:r>
          </w:p>
          <w:p>
            <w:pPr>
              <w:pStyle w:val="23"/>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4）固体废弃物：施工期工程</w:t>
            </w:r>
            <w:r>
              <w:rPr>
                <w:rFonts w:hint="default" w:ascii="Times New Roman" w:hAnsi="Times New Roman" w:cs="Times New Roman"/>
                <w:color w:val="auto"/>
                <w:highlight w:val="none"/>
                <w:lang w:eastAsia="zh-CN"/>
              </w:rPr>
              <w:t>土石方</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建筑垃圾、</w:t>
            </w:r>
            <w:r>
              <w:rPr>
                <w:rFonts w:hint="default" w:ascii="Times New Roman" w:hAnsi="Times New Roman" w:cs="Times New Roman"/>
                <w:color w:val="auto"/>
                <w:highlight w:val="none"/>
              </w:rPr>
              <w:t>生活垃圾处置情况；营运期生活垃圾处置。</w:t>
            </w:r>
          </w:p>
          <w:p>
            <w:pPr>
              <w:pStyle w:val="23"/>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5）生态环境：</w:t>
            </w:r>
            <w:r>
              <w:rPr>
                <w:rFonts w:hint="eastAsia" w:ascii="Times New Roman" w:hAnsi="Times New Roman" w:cs="Times New Roman"/>
              </w:rPr>
              <w:t>调查工程占地情况，临时占地生态恢复措施及效果，水土保持措施落实情况</w:t>
            </w:r>
            <w:r>
              <w:rPr>
                <w:rFonts w:ascii="Times New Roman" w:hAnsi="Times New Roman" w:cs="Times New Roma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7" w:hRule="atLeast"/>
        </w:trPr>
        <w:tc>
          <w:tcPr>
            <w:tcW w:w="310" w:type="pct"/>
            <w:vAlign w:val="center"/>
          </w:tcPr>
          <w:p>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环境敏感目标</w:t>
            </w:r>
          </w:p>
        </w:tc>
        <w:tc>
          <w:tcPr>
            <w:tcW w:w="4689" w:type="pct"/>
            <w:vAlign w:val="center"/>
          </w:tcPr>
          <w:p>
            <w:pPr>
              <w:pStyle w:val="19"/>
              <w:rPr>
                <w:rFonts w:hint="default" w:ascii="Times New Roman" w:hAnsi="Times New Roman" w:cs="Times New Roman"/>
                <w:lang w:val="en-US" w:eastAsia="zh-CN"/>
              </w:rPr>
            </w:pPr>
            <w:r>
              <w:rPr>
                <w:rFonts w:hint="default" w:ascii="Times New Roman" w:hAnsi="Times New Roman" w:cs="Times New Roman"/>
                <w:lang w:val="en-US" w:eastAsia="zh-CN"/>
              </w:rPr>
              <w:t>本次验收项目</w:t>
            </w:r>
            <w:r>
              <w:rPr>
                <w:rFonts w:hint="eastAsia" w:ascii="Times New Roman" w:hAnsi="Times New Roman" w:eastAsia="宋体" w:cs="Times New Roman"/>
                <w:lang w:val="en-US" w:eastAsia="zh-CN"/>
              </w:rPr>
              <w:t>I、II标段工程余梁公路</w:t>
            </w:r>
            <w:r>
              <w:rPr>
                <w:rFonts w:hint="default" w:ascii="Times New Roman" w:hAnsi="Times New Roman" w:cs="Times New Roman"/>
                <w:lang w:val="en-US" w:eastAsia="zh-CN"/>
              </w:rPr>
              <w:t>（</w:t>
            </w:r>
            <w:r>
              <w:rPr>
                <w:rFonts w:hint="default" w:ascii="Times New Roman" w:hAnsi="Times New Roman" w:eastAsia="宋体" w:cs="Times New Roman"/>
                <w:color w:val="auto"/>
                <w:szCs w:val="21"/>
                <w:highlight w:val="none"/>
              </w:rPr>
              <w:t>谭家岭西路</w:t>
            </w:r>
            <w:r>
              <w:rPr>
                <w:rFonts w:hint="default" w:ascii="Times New Roman" w:hAnsi="Times New Roman" w:cs="Times New Roman"/>
                <w:lang w:val="en-US" w:eastAsia="zh-CN"/>
              </w:rPr>
              <w:t>-</w:t>
            </w:r>
            <w:r>
              <w:rPr>
                <w:rFonts w:hint="eastAsia" w:ascii="Times New Roman" w:hAnsi="Times New Roman" w:cs="Times New Roman"/>
                <w:lang w:val="en-US" w:eastAsia="zh-CN"/>
              </w:rPr>
              <w:t>六一省道</w:t>
            </w:r>
            <w:r>
              <w:rPr>
                <w:rFonts w:hint="default" w:ascii="Times New Roman" w:hAnsi="Times New Roman" w:cs="Times New Roman"/>
                <w:lang w:val="en-US" w:eastAsia="zh-CN"/>
              </w:rPr>
              <w:t>）</w:t>
            </w:r>
            <w:r>
              <w:rPr>
                <w:rFonts w:hint="eastAsia" w:ascii="Times New Roman" w:hAnsi="Times New Roman" w:cs="Times New Roman"/>
                <w:lang w:val="en-US" w:eastAsia="zh-CN"/>
              </w:rPr>
              <w:t>，</w:t>
            </w:r>
            <w:r>
              <w:rPr>
                <w:rFonts w:hint="default" w:ascii="Times New Roman" w:hAnsi="Times New Roman" w:cs="Times New Roman"/>
                <w:lang w:val="en-US" w:eastAsia="zh-CN"/>
              </w:rPr>
              <w:t>故只考虑该路段周边敏感目标。</w:t>
            </w:r>
          </w:p>
          <w:p>
            <w:pPr>
              <w:pStyle w:val="10"/>
              <w:ind w:firstLine="480"/>
            </w:pPr>
            <w:r>
              <w:t>根据现场踏勘，结合</w:t>
            </w:r>
            <w:r>
              <w:rPr>
                <w:rFonts w:hint="eastAsia"/>
                <w:lang w:eastAsia="zh-CN"/>
              </w:rPr>
              <w:t>环评报告表</w:t>
            </w:r>
            <w:r>
              <w:t>及其批复等资料，确定本工程的环境保护目标如下：</w:t>
            </w:r>
          </w:p>
          <w:p>
            <w:pPr>
              <w:pStyle w:val="10"/>
              <w:numPr>
                <w:ilvl w:val="0"/>
                <w:numId w:val="1"/>
              </w:numPr>
              <w:ind w:firstLine="480"/>
            </w:pPr>
            <w:r>
              <w:t>水环境保护目标项目根据现场踏勘调查，项目沿线评价范围内</w:t>
            </w:r>
            <w:r>
              <w:rPr>
                <w:rFonts w:hint="eastAsia"/>
                <w:lang w:val="en-US" w:eastAsia="zh-CN"/>
              </w:rPr>
              <w:t>水</w:t>
            </w:r>
            <w:r>
              <w:t>环境保护目标具体见表</w:t>
            </w:r>
            <w:r>
              <w:rPr>
                <w:rFonts w:hint="eastAsia"/>
                <w:lang w:val="en-US" w:eastAsia="zh-CN"/>
              </w:rPr>
              <w:t>2</w:t>
            </w:r>
            <w:r>
              <w:t>-1。</w:t>
            </w:r>
          </w:p>
          <w:p>
            <w:pPr>
              <w:pStyle w:val="34"/>
            </w:pPr>
            <w:r>
              <w:t>表</w:t>
            </w:r>
            <w:r>
              <w:rPr>
                <w:rFonts w:hint="eastAsia"/>
                <w:lang w:val="en-US" w:eastAsia="zh-CN"/>
              </w:rPr>
              <w:t>2</w:t>
            </w:r>
            <w:r>
              <w:t>-1</w:t>
            </w:r>
            <w:r>
              <w:rPr>
                <w:rFonts w:hint="eastAsia"/>
                <w:lang w:eastAsia="zh-CN"/>
              </w:rPr>
              <w:t xml:space="preserve"> </w:t>
            </w:r>
            <w:r>
              <w:t>工程沿线评价范围内水环境保护目标</w:t>
            </w:r>
          </w:p>
          <w:tbl>
            <w:tblPr>
              <w:tblStyle w:val="15"/>
              <w:tblW w:w="4998" w:type="pct"/>
              <w:tblInd w:w="7"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1070"/>
              <w:gridCol w:w="1366"/>
              <w:gridCol w:w="899"/>
              <w:gridCol w:w="1662"/>
              <w:gridCol w:w="1076"/>
              <w:gridCol w:w="24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c>
                <w:tcPr>
                  <w:tcW w:w="630"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河流名称</w:t>
                  </w:r>
                </w:p>
              </w:tc>
              <w:tc>
                <w:tcPr>
                  <w:tcW w:w="804"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与本项目关系</w:t>
                  </w:r>
                </w:p>
              </w:tc>
              <w:tc>
                <w:tcPr>
                  <w:tcW w:w="529"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功能</w:t>
                  </w:r>
                  <w:r>
                    <w:rPr>
                      <w:rFonts w:hint="eastAsia" w:ascii="Times New Roman" w:hAnsi="Times New Roman" w:eastAsia="宋体" w:cs="Times New Roman"/>
                      <w:sz w:val="21"/>
                      <w:szCs w:val="21"/>
                      <w:lang w:eastAsia="zh-CN"/>
                    </w:rPr>
                    <w:t>*</w:t>
                  </w:r>
                </w:p>
              </w:tc>
              <w:tc>
                <w:tcPr>
                  <w:tcW w:w="978"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水环境保护目标</w:t>
                  </w:r>
                </w:p>
              </w:tc>
              <w:tc>
                <w:tcPr>
                  <w:tcW w:w="633"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环境特征</w:t>
                  </w:r>
                </w:p>
              </w:tc>
              <w:tc>
                <w:tcPr>
                  <w:tcW w:w="1423"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主要影响因素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c>
                <w:tcPr>
                  <w:tcW w:w="6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姚江</w:t>
                  </w:r>
                </w:p>
              </w:tc>
              <w:tc>
                <w:tcPr>
                  <w:tcW w:w="80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以桥梁形式跨越</w:t>
                  </w:r>
                </w:p>
              </w:tc>
              <w:tc>
                <w:tcPr>
                  <w:tcW w:w="529"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lang w:eastAsia="zh-CN"/>
                    </w:rPr>
                    <w:t>农业</w:t>
                  </w:r>
                  <w:r>
                    <w:rPr>
                      <w:rFonts w:hint="eastAsia" w:ascii="Times New Roman" w:hAnsi="Times New Roman" w:eastAsia="宋体" w:cs="Times New Roman"/>
                      <w:sz w:val="21"/>
                      <w:szCs w:val="21"/>
                      <w:lang w:val="en-US" w:eastAsia="zh-CN"/>
                    </w:rPr>
                    <w:t>及通航</w:t>
                  </w:r>
                </w:p>
              </w:tc>
              <w:tc>
                <w:tcPr>
                  <w:tcW w:w="978"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II类</w:t>
                  </w:r>
                </w:p>
              </w:tc>
              <w:tc>
                <w:tcPr>
                  <w:tcW w:w="633"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地表水</w:t>
                  </w:r>
                </w:p>
              </w:tc>
              <w:tc>
                <w:tcPr>
                  <w:tcW w:w="1423"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施工期扬尘的影响、营运期桥面径流的影响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c>
                <w:tcPr>
                  <w:tcW w:w="6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其余内河</w:t>
                  </w:r>
                </w:p>
              </w:tc>
              <w:tc>
                <w:tcPr>
                  <w:tcW w:w="804" w:type="pct"/>
                  <w:tcBorders>
                    <w:tl2br w:val="nil"/>
                    <w:tr2bl w:val="nil"/>
                  </w:tcBorders>
                  <w:vAlign w:val="center"/>
                </w:tcPr>
                <w:p>
                  <w:pPr>
                    <w:spacing w:before="42"/>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lang w:eastAsia="zh-CN"/>
                    </w:rPr>
                    <w:t>以桥梁形式跨越</w:t>
                  </w:r>
                  <w:r>
                    <w:rPr>
                      <w:rFonts w:hint="eastAsia" w:ascii="Times New Roman" w:hAnsi="Times New Roman" w:eastAsia="宋体" w:cs="Times New Roman"/>
                      <w:sz w:val="21"/>
                      <w:szCs w:val="21"/>
                      <w:lang w:val="en-US" w:eastAsia="zh-CN"/>
                    </w:rPr>
                    <w:t>及附近水域</w:t>
                  </w:r>
                </w:p>
              </w:tc>
              <w:tc>
                <w:tcPr>
                  <w:tcW w:w="529"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农业</w:t>
                  </w:r>
                </w:p>
              </w:tc>
              <w:tc>
                <w:tcPr>
                  <w:tcW w:w="978"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cs="Times New Roman"/>
                      <w:sz w:val="24"/>
                    </w:rPr>
                    <w:t>Ⅲ</w:t>
                  </w:r>
                  <w:r>
                    <w:rPr>
                      <w:rFonts w:ascii="Times New Roman" w:hAnsi="Times New Roman" w:eastAsia="宋体" w:cs="Times New Roman"/>
                      <w:sz w:val="21"/>
                      <w:szCs w:val="21"/>
                      <w:lang w:eastAsia="zh-CN"/>
                    </w:rPr>
                    <w:t>类</w:t>
                  </w:r>
                </w:p>
              </w:tc>
              <w:tc>
                <w:tcPr>
                  <w:tcW w:w="633" w:type="pct"/>
                  <w:tcBorders>
                    <w:tl2br w:val="nil"/>
                    <w:tr2bl w:val="nil"/>
                  </w:tcBorders>
                  <w:vAlign w:val="center"/>
                </w:tcPr>
                <w:p>
                  <w:pPr>
                    <w:pStyle w:val="35"/>
                    <w:spacing w:before="42"/>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lang w:eastAsia="zh-CN"/>
                    </w:rPr>
                    <w:t>地表水</w:t>
                  </w:r>
                </w:p>
              </w:tc>
              <w:tc>
                <w:tcPr>
                  <w:tcW w:w="1423" w:type="pct"/>
                  <w:tcBorders>
                    <w:tl2br w:val="nil"/>
                    <w:tr2bl w:val="nil"/>
                  </w:tcBorders>
                  <w:vAlign w:val="center"/>
                </w:tcPr>
                <w:p>
                  <w:pPr>
                    <w:pStyle w:val="35"/>
                    <w:spacing w:before="42"/>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lang w:eastAsia="zh-CN"/>
                    </w:rPr>
                    <w:t>施工期扬尘的影响、营运期桥面径流的影响</w:t>
                  </w:r>
                </w:p>
              </w:tc>
            </w:tr>
          </w:tbl>
          <w:p>
            <w:pPr>
              <w:pStyle w:val="10"/>
              <w:numPr>
                <w:ilvl w:val="0"/>
                <w:numId w:val="1"/>
              </w:numPr>
              <w:ind w:firstLine="480"/>
            </w:pPr>
            <w:r>
              <w:t>声环境保护目标根据现场踏勘调查，项目沿线评价范围内声环境保护目标具体见表</w:t>
            </w:r>
            <w:r>
              <w:rPr>
                <w:rFonts w:hint="eastAsia"/>
                <w:lang w:val="en-US" w:eastAsia="zh-CN"/>
              </w:rPr>
              <w:t>2</w:t>
            </w:r>
            <w:r>
              <w:t>-</w:t>
            </w:r>
            <w:r>
              <w:rPr>
                <w:rFonts w:hint="eastAsia"/>
                <w:lang w:eastAsia="zh-CN"/>
              </w:rPr>
              <w:t>2</w:t>
            </w:r>
            <w:r>
              <w:t>。</w:t>
            </w:r>
          </w:p>
          <w:p>
            <w:pPr>
              <w:pStyle w:val="10"/>
              <w:numPr>
                <w:ilvl w:val="0"/>
                <w:numId w:val="1"/>
              </w:numPr>
              <w:ind w:firstLine="480"/>
            </w:pPr>
            <w:r>
              <w:t>大气环境保护目标同声环境保护目标，见表</w:t>
            </w:r>
            <w:r>
              <w:rPr>
                <w:rFonts w:hint="eastAsia"/>
                <w:lang w:val="en-US" w:eastAsia="zh-CN"/>
              </w:rPr>
              <w:t>2</w:t>
            </w:r>
            <w:r>
              <w:t>-</w:t>
            </w:r>
            <w:r>
              <w:rPr>
                <w:rFonts w:hint="eastAsia"/>
                <w:lang w:eastAsia="zh-CN"/>
              </w:rPr>
              <w:t>2</w:t>
            </w:r>
            <w:r>
              <w:t>。</w:t>
            </w:r>
          </w:p>
          <w:p>
            <w:pPr>
              <w:pStyle w:val="34"/>
            </w:pPr>
            <w:r>
              <w:t>表</w:t>
            </w:r>
            <w:r>
              <w:rPr>
                <w:rFonts w:hint="eastAsia"/>
                <w:lang w:val="en-US" w:eastAsia="zh-CN"/>
              </w:rPr>
              <w:t>2</w:t>
            </w:r>
            <w:r>
              <w:t>-</w:t>
            </w:r>
            <w:r>
              <w:rPr>
                <w:rFonts w:hint="eastAsia"/>
                <w:lang w:eastAsia="zh-CN"/>
              </w:rPr>
              <w:t xml:space="preserve">2 </w:t>
            </w:r>
            <w:r>
              <w:t>工程沿线评价范围内声环境、大气环境敏感点统计表</w:t>
            </w:r>
          </w:p>
          <w:tbl>
            <w:tblPr>
              <w:tblStyle w:val="15"/>
              <w:tblW w:w="4997" w:type="pct"/>
              <w:tblInd w:w="0" w:type="dxa"/>
              <w:tblLayout w:type="autofit"/>
              <w:tblCellMar>
                <w:top w:w="0" w:type="dxa"/>
                <w:left w:w="0" w:type="dxa"/>
                <w:bottom w:w="0" w:type="dxa"/>
                <w:right w:w="0" w:type="dxa"/>
              </w:tblCellMar>
            </w:tblPr>
            <w:tblGrid>
              <w:gridCol w:w="470"/>
              <w:gridCol w:w="1404"/>
              <w:gridCol w:w="481"/>
              <w:gridCol w:w="3680"/>
              <w:gridCol w:w="1983"/>
              <w:gridCol w:w="471"/>
            </w:tblGrid>
            <w:tr>
              <w:tblPrEx>
                <w:tblCellMar>
                  <w:top w:w="0" w:type="dxa"/>
                  <w:left w:w="0" w:type="dxa"/>
                  <w:bottom w:w="0" w:type="dxa"/>
                  <w:right w:w="0" w:type="dxa"/>
                </w:tblCellMar>
              </w:tblPrEx>
              <w:trPr>
                <w:trHeight w:val="312" w:hRule="atLeast"/>
              </w:trPr>
              <w:tc>
                <w:tcPr>
                  <w:tcW w:w="277" w:type="pct"/>
                  <w:tcBorders>
                    <w:top w:val="single" w:color="000000" w:sz="12" w:space="0"/>
                    <w:left w:val="nil"/>
                    <w:right w:val="single" w:color="000000" w:sz="6"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826" w:type="pct"/>
                  <w:tcBorders>
                    <w:top w:val="single" w:color="000000" w:sz="12" w:space="0"/>
                    <w:left w:val="single" w:color="000000" w:sz="6" w:space="0"/>
                    <w:right w:val="single" w:color="000000" w:sz="6"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名称</w:t>
                  </w:r>
                </w:p>
              </w:tc>
              <w:tc>
                <w:tcPr>
                  <w:tcW w:w="283" w:type="pct"/>
                  <w:tcBorders>
                    <w:top w:val="single" w:color="000000" w:sz="12" w:space="0"/>
                    <w:left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方位</w:t>
                  </w:r>
                </w:p>
              </w:tc>
              <w:tc>
                <w:tcPr>
                  <w:tcW w:w="2166" w:type="pct"/>
                  <w:tcBorders>
                    <w:top w:val="single" w:color="000000" w:sz="12" w:space="0"/>
                    <w:left w:val="single" w:color="000000" w:sz="6" w:space="0"/>
                    <w:right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rPr>
                    <w:t>首排房屋与道路</w:t>
                  </w:r>
                  <w:r>
                    <w:rPr>
                      <w:rFonts w:hint="eastAsia" w:ascii="Times New Roman" w:hAnsi="Times New Roman" w:eastAsia="宋体" w:cs="Times New Roman"/>
                      <w:sz w:val="21"/>
                      <w:szCs w:val="21"/>
                      <w:lang w:val="en-US" w:eastAsia="zh-CN"/>
                    </w:rPr>
                    <w:t>红线最近距离（m）</w:t>
                  </w:r>
                </w:p>
              </w:tc>
              <w:tc>
                <w:tcPr>
                  <w:tcW w:w="1167" w:type="pct"/>
                  <w:tcBorders>
                    <w:top w:val="single" w:color="000000" w:sz="12" w:space="0"/>
                    <w:left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房屋情况</w:t>
                  </w:r>
                </w:p>
              </w:tc>
              <w:tc>
                <w:tcPr>
                  <w:tcW w:w="277" w:type="pct"/>
                  <w:tcBorders>
                    <w:top w:val="single" w:color="000000" w:sz="12" w:space="0"/>
                    <w:left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备注</w:t>
                  </w:r>
                </w:p>
              </w:tc>
            </w:tr>
            <w:tr>
              <w:tblPrEx>
                <w:tblCellMar>
                  <w:top w:w="0" w:type="dxa"/>
                  <w:left w:w="0" w:type="dxa"/>
                  <w:bottom w:w="0" w:type="dxa"/>
                  <w:right w:w="0" w:type="dxa"/>
                </w:tblCellMar>
              </w:tblPrEx>
              <w:trPr>
                <w:trHeight w:val="23" w:hRule="atLeast"/>
              </w:trPr>
              <w:tc>
                <w:tcPr>
                  <w:tcW w:w="277" w:type="pct"/>
                  <w:tcBorders>
                    <w:top w:val="single" w:color="000000" w:sz="12" w:space="0"/>
                    <w:left w:val="nil"/>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26" w:type="pct"/>
                  <w:tcBorders>
                    <w:top w:val="single" w:color="000000" w:sz="12"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牛轭漕</w:t>
                  </w:r>
                </w:p>
              </w:tc>
              <w:tc>
                <w:tcPr>
                  <w:tcW w:w="283" w:type="pct"/>
                  <w:tcBorders>
                    <w:top w:val="single" w:color="000000" w:sz="12"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东侧</w:t>
                  </w:r>
                </w:p>
              </w:tc>
              <w:tc>
                <w:tcPr>
                  <w:tcW w:w="2166" w:type="pct"/>
                  <w:tcBorders>
                    <w:top w:val="single" w:color="000000" w:sz="12"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167" w:type="pct"/>
                  <w:tcBorders>
                    <w:top w:val="single" w:color="000000" w:sz="12"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以3、4层楼房为主</w:t>
                  </w:r>
                </w:p>
              </w:tc>
              <w:tc>
                <w:tcPr>
                  <w:tcW w:w="277" w:type="pct"/>
                  <w:tcBorders>
                    <w:top w:val="single" w:color="000000" w:sz="12"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p>
              </w:tc>
            </w:tr>
            <w:tr>
              <w:tblPrEx>
                <w:tblCellMar>
                  <w:top w:w="0" w:type="dxa"/>
                  <w:left w:w="0" w:type="dxa"/>
                  <w:bottom w:w="0" w:type="dxa"/>
                  <w:right w:w="0" w:type="dxa"/>
                </w:tblCellMar>
              </w:tblPrEx>
              <w:trPr>
                <w:trHeight w:val="376" w:hRule="atLeast"/>
              </w:trPr>
              <w:tc>
                <w:tcPr>
                  <w:tcW w:w="277" w:type="pct"/>
                  <w:tcBorders>
                    <w:top w:val="single" w:color="000000" w:sz="6" w:space="0"/>
                    <w:left w:val="nil"/>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2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丰杨河村</w:t>
                  </w:r>
                </w:p>
              </w:tc>
              <w:tc>
                <w:tcPr>
                  <w:tcW w:w="283"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穿越</w:t>
                  </w:r>
                </w:p>
              </w:tc>
              <w:tc>
                <w:tcPr>
                  <w:tcW w:w="216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16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以3、4层楼房为主</w:t>
                  </w:r>
                </w:p>
              </w:tc>
              <w:tc>
                <w:tcPr>
                  <w:tcW w:w="27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p>
              </w:tc>
            </w:tr>
            <w:tr>
              <w:tblPrEx>
                <w:tblCellMar>
                  <w:top w:w="0" w:type="dxa"/>
                  <w:left w:w="0" w:type="dxa"/>
                  <w:bottom w:w="0" w:type="dxa"/>
                  <w:right w:w="0" w:type="dxa"/>
                </w:tblCellMar>
              </w:tblPrEx>
              <w:trPr>
                <w:trHeight w:val="23" w:hRule="atLeast"/>
              </w:trPr>
              <w:tc>
                <w:tcPr>
                  <w:tcW w:w="277" w:type="pct"/>
                  <w:tcBorders>
                    <w:top w:val="single" w:color="000000" w:sz="6" w:space="0"/>
                    <w:left w:val="nil"/>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3</w:t>
                  </w:r>
                </w:p>
              </w:tc>
              <w:tc>
                <w:tcPr>
                  <w:tcW w:w="82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丰云佳苑</w:t>
                  </w:r>
                </w:p>
              </w:tc>
              <w:tc>
                <w:tcPr>
                  <w:tcW w:w="283"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东侧</w:t>
                  </w:r>
                </w:p>
              </w:tc>
              <w:tc>
                <w:tcPr>
                  <w:tcW w:w="216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1167" w:type="pct"/>
                  <w:tcBorders>
                    <w:top w:val="single" w:color="000000" w:sz="6" w:space="0"/>
                    <w:left w:val="single" w:color="000000" w:sz="4" w:space="0"/>
                    <w:bottom w:val="single" w:color="000000" w:sz="6" w:space="0"/>
                    <w:right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8层、10层、15层</w:t>
                  </w:r>
                </w:p>
              </w:tc>
              <w:tc>
                <w:tcPr>
                  <w:tcW w:w="27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新增</w:t>
                  </w:r>
                </w:p>
              </w:tc>
            </w:tr>
            <w:tr>
              <w:tblPrEx>
                <w:tblCellMar>
                  <w:top w:w="0" w:type="dxa"/>
                  <w:left w:w="0" w:type="dxa"/>
                  <w:bottom w:w="0" w:type="dxa"/>
                  <w:right w:w="0" w:type="dxa"/>
                </w:tblCellMar>
              </w:tblPrEx>
              <w:trPr>
                <w:trHeight w:val="23" w:hRule="atLeast"/>
              </w:trPr>
              <w:tc>
                <w:tcPr>
                  <w:tcW w:w="277" w:type="pct"/>
                  <w:tcBorders>
                    <w:top w:val="single" w:color="000000" w:sz="6" w:space="0"/>
                    <w:left w:val="nil"/>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82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舜辰老年公寓</w:t>
                  </w:r>
                </w:p>
              </w:tc>
              <w:tc>
                <w:tcPr>
                  <w:tcW w:w="283"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w:t>
                  </w:r>
                </w:p>
              </w:tc>
              <w:tc>
                <w:tcPr>
                  <w:tcW w:w="216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p>
              </w:tc>
              <w:tc>
                <w:tcPr>
                  <w:tcW w:w="1167" w:type="pct"/>
                  <w:tcBorders>
                    <w:top w:val="single" w:color="000000" w:sz="6" w:space="0"/>
                    <w:left w:val="single" w:color="000000" w:sz="4" w:space="0"/>
                    <w:bottom w:val="single" w:color="000000" w:sz="6" w:space="0"/>
                    <w:right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6-11层</w:t>
                  </w:r>
                </w:p>
              </w:tc>
              <w:tc>
                <w:tcPr>
                  <w:tcW w:w="277" w:type="pct"/>
                  <w:tcBorders>
                    <w:top w:val="single" w:color="000000" w:sz="6" w:space="0"/>
                    <w:left w:val="single" w:color="000000" w:sz="4" w:space="0"/>
                    <w:bottom w:val="single" w:color="000000" w:sz="6" w:space="0"/>
                    <w:right w:val="nil"/>
                  </w:tcBorders>
                  <w:vAlign w:val="center"/>
                </w:tcPr>
                <w:p>
                  <w:pPr>
                    <w:pStyle w:val="35"/>
                    <w:spacing w:before="42"/>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新增</w:t>
                  </w:r>
                </w:p>
              </w:tc>
            </w:tr>
            <w:tr>
              <w:tblPrEx>
                <w:tblCellMar>
                  <w:top w:w="0" w:type="dxa"/>
                  <w:left w:w="0" w:type="dxa"/>
                  <w:bottom w:w="0" w:type="dxa"/>
                  <w:right w:w="0" w:type="dxa"/>
                </w:tblCellMar>
              </w:tblPrEx>
              <w:trPr>
                <w:trHeight w:val="23" w:hRule="atLeast"/>
              </w:trPr>
              <w:tc>
                <w:tcPr>
                  <w:tcW w:w="277" w:type="pct"/>
                  <w:tcBorders>
                    <w:top w:val="single" w:color="000000" w:sz="6" w:space="0"/>
                    <w:left w:val="nil"/>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5</w:t>
                  </w:r>
                </w:p>
              </w:tc>
              <w:tc>
                <w:tcPr>
                  <w:tcW w:w="82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丰南村</w:t>
                  </w:r>
                </w:p>
              </w:tc>
              <w:tc>
                <w:tcPr>
                  <w:tcW w:w="283"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穿越</w:t>
                  </w:r>
                </w:p>
              </w:tc>
              <w:tc>
                <w:tcPr>
                  <w:tcW w:w="216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116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以3、4层楼房为主</w:t>
                  </w:r>
                </w:p>
              </w:tc>
              <w:tc>
                <w:tcPr>
                  <w:tcW w:w="27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p>
              </w:tc>
            </w:tr>
            <w:tr>
              <w:tblPrEx>
                <w:tblCellMar>
                  <w:top w:w="0" w:type="dxa"/>
                  <w:left w:w="0" w:type="dxa"/>
                  <w:bottom w:w="0" w:type="dxa"/>
                  <w:right w:w="0" w:type="dxa"/>
                </w:tblCellMar>
              </w:tblPrEx>
              <w:trPr>
                <w:trHeight w:val="23" w:hRule="atLeast"/>
              </w:trPr>
              <w:tc>
                <w:tcPr>
                  <w:tcW w:w="277" w:type="pct"/>
                  <w:tcBorders>
                    <w:top w:val="single" w:color="000000" w:sz="6" w:space="0"/>
                    <w:left w:val="nil"/>
                    <w:bottom w:val="single" w:color="000000" w:sz="12"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6</w:t>
                  </w:r>
                </w:p>
              </w:tc>
              <w:tc>
                <w:tcPr>
                  <w:tcW w:w="826" w:type="pct"/>
                  <w:tcBorders>
                    <w:top w:val="single" w:color="000000" w:sz="6" w:space="0"/>
                    <w:left w:val="single" w:color="000000" w:sz="4" w:space="0"/>
                    <w:bottom w:val="single" w:color="000000" w:sz="12"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群立村</w:t>
                  </w:r>
                </w:p>
              </w:tc>
              <w:tc>
                <w:tcPr>
                  <w:tcW w:w="283" w:type="pct"/>
                  <w:tcBorders>
                    <w:top w:val="single" w:color="000000" w:sz="6" w:space="0"/>
                    <w:left w:val="single" w:color="000000" w:sz="4" w:space="0"/>
                    <w:bottom w:val="single" w:color="000000" w:sz="12"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穿越</w:t>
                  </w:r>
                </w:p>
              </w:tc>
              <w:tc>
                <w:tcPr>
                  <w:tcW w:w="2166" w:type="pct"/>
                  <w:tcBorders>
                    <w:top w:val="single" w:color="000000" w:sz="6" w:space="0"/>
                    <w:left w:val="single" w:color="000000" w:sz="4" w:space="0"/>
                    <w:bottom w:val="single" w:color="000000" w:sz="12"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1167" w:type="pct"/>
                  <w:tcBorders>
                    <w:top w:val="single" w:color="000000" w:sz="6" w:space="0"/>
                    <w:left w:val="single" w:color="000000" w:sz="4" w:space="0"/>
                    <w:bottom w:val="single" w:color="000000" w:sz="12"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以3、4层楼房为主</w:t>
                  </w:r>
                </w:p>
              </w:tc>
              <w:tc>
                <w:tcPr>
                  <w:tcW w:w="277" w:type="pct"/>
                  <w:tcBorders>
                    <w:top w:val="single" w:color="000000" w:sz="6" w:space="0"/>
                    <w:left w:val="single" w:color="000000" w:sz="4" w:space="0"/>
                    <w:bottom w:val="single" w:color="000000" w:sz="12" w:space="0"/>
                    <w:right w:val="nil"/>
                  </w:tcBorders>
                  <w:vAlign w:val="center"/>
                </w:tcPr>
                <w:p>
                  <w:pPr>
                    <w:pStyle w:val="35"/>
                    <w:spacing w:before="42"/>
                    <w:jc w:val="center"/>
                    <w:rPr>
                      <w:rFonts w:ascii="Times New Roman" w:hAnsi="Times New Roman" w:eastAsia="宋体" w:cs="Times New Roman"/>
                      <w:sz w:val="21"/>
                      <w:szCs w:val="21"/>
                    </w:rPr>
                  </w:pPr>
                </w:p>
              </w:tc>
            </w:tr>
          </w:tbl>
          <w:p>
            <w:pPr>
              <w:pStyle w:val="10"/>
              <w:numPr>
                <w:ilvl w:val="0"/>
                <w:numId w:val="1"/>
              </w:numPr>
              <w:ind w:firstLine="480"/>
            </w:pPr>
            <w:r>
              <w:t>生态环境保护目标主要为项目沿线的植物、动物以及沿线农作物等生态环境。</w:t>
            </w:r>
          </w:p>
          <w:p>
            <w:pPr>
              <w:pStyle w:val="10"/>
              <w:numPr>
                <w:ilvl w:val="0"/>
                <w:numId w:val="1"/>
              </w:numPr>
              <w:ind w:firstLine="480"/>
            </w:pPr>
            <w:r>
              <w:t>社会环境保护目标该项目社会环境保护目标包括沿线所经地区社会经济发展、土地利用、征地拆迁等，确保区域社会经济持续发展，受影响群体补偿落实，社会和谐安定，见表</w:t>
            </w:r>
            <w:r>
              <w:rPr>
                <w:rFonts w:hint="eastAsia"/>
                <w:lang w:val="en-US" w:eastAsia="zh-CN"/>
              </w:rPr>
              <w:t>2</w:t>
            </w:r>
            <w:r>
              <w:t>-</w:t>
            </w:r>
            <w:r>
              <w:rPr>
                <w:rFonts w:hint="eastAsia"/>
                <w:lang w:eastAsia="zh-CN"/>
              </w:rPr>
              <w:t>3</w:t>
            </w:r>
            <w:r>
              <w:t>。</w:t>
            </w:r>
          </w:p>
          <w:p>
            <w:pPr>
              <w:pStyle w:val="34"/>
            </w:pPr>
          </w:p>
          <w:p>
            <w:pPr>
              <w:pStyle w:val="34"/>
            </w:pPr>
          </w:p>
          <w:p>
            <w:pPr>
              <w:pStyle w:val="34"/>
            </w:pPr>
          </w:p>
          <w:p>
            <w:pPr>
              <w:pStyle w:val="34"/>
            </w:pPr>
          </w:p>
          <w:p>
            <w:pPr>
              <w:pStyle w:val="34"/>
            </w:pPr>
          </w:p>
          <w:p>
            <w:pPr>
              <w:pStyle w:val="34"/>
            </w:pPr>
          </w:p>
          <w:p>
            <w:pPr>
              <w:pStyle w:val="34"/>
            </w:pPr>
          </w:p>
          <w:p>
            <w:pPr>
              <w:pStyle w:val="34"/>
            </w:pPr>
            <w:r>
              <w:t>表</w:t>
            </w:r>
            <w:r>
              <w:rPr>
                <w:rFonts w:hint="eastAsia"/>
                <w:lang w:val="en-US" w:eastAsia="zh-CN"/>
              </w:rPr>
              <w:t>2</w:t>
            </w:r>
            <w:r>
              <w:t>-</w:t>
            </w:r>
            <w:r>
              <w:rPr>
                <w:rFonts w:hint="eastAsia"/>
                <w:lang w:eastAsia="zh-CN"/>
              </w:rPr>
              <w:t xml:space="preserve">3 </w:t>
            </w:r>
            <w:r>
              <w:t>社会环境保护目标一览表</w:t>
            </w:r>
          </w:p>
          <w:tbl>
            <w:tblPr>
              <w:tblStyle w:val="15"/>
              <w:tblW w:w="5000" w:type="pct"/>
              <w:tblInd w:w="0" w:type="dxa"/>
              <w:tblLayout w:type="autofit"/>
              <w:tblCellMar>
                <w:top w:w="0" w:type="dxa"/>
                <w:left w:w="0" w:type="dxa"/>
                <w:bottom w:w="0" w:type="dxa"/>
                <w:right w:w="0" w:type="dxa"/>
              </w:tblCellMar>
            </w:tblPr>
            <w:tblGrid>
              <w:gridCol w:w="1630"/>
              <w:gridCol w:w="1862"/>
              <w:gridCol w:w="5002"/>
            </w:tblGrid>
            <w:tr>
              <w:tblPrEx>
                <w:tblCellMar>
                  <w:top w:w="0" w:type="dxa"/>
                  <w:left w:w="0" w:type="dxa"/>
                  <w:bottom w:w="0" w:type="dxa"/>
                  <w:right w:w="0" w:type="dxa"/>
                </w:tblCellMar>
              </w:tblPrEx>
              <w:trPr>
                <w:trHeight w:val="23" w:hRule="atLeast"/>
              </w:trPr>
              <w:tc>
                <w:tcPr>
                  <w:tcW w:w="959" w:type="pct"/>
                  <w:tcBorders>
                    <w:top w:val="single" w:color="000000" w:sz="12" w:space="0"/>
                    <w:left w:val="nil"/>
                    <w:bottom w:val="single" w:color="000000" w:sz="12"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保护目标</w:t>
                  </w:r>
                </w:p>
              </w:tc>
              <w:tc>
                <w:tcPr>
                  <w:tcW w:w="1096" w:type="pct"/>
                  <w:tcBorders>
                    <w:top w:val="single" w:color="000000" w:sz="12" w:space="0"/>
                    <w:left w:val="single" w:color="000000" w:sz="4" w:space="0"/>
                    <w:bottom w:val="single" w:color="000000" w:sz="12"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位置</w:t>
                  </w:r>
                </w:p>
              </w:tc>
              <w:tc>
                <w:tcPr>
                  <w:tcW w:w="2944" w:type="pct"/>
                  <w:tcBorders>
                    <w:top w:val="single" w:color="000000" w:sz="12" w:space="0"/>
                    <w:left w:val="single" w:color="000000" w:sz="4" w:space="0"/>
                    <w:bottom w:val="single" w:color="000000" w:sz="12"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影响方式</w:t>
                  </w:r>
                </w:p>
              </w:tc>
            </w:tr>
            <w:tr>
              <w:tblPrEx>
                <w:tblCellMar>
                  <w:top w:w="0" w:type="dxa"/>
                  <w:left w:w="0" w:type="dxa"/>
                  <w:bottom w:w="0" w:type="dxa"/>
                  <w:right w:w="0" w:type="dxa"/>
                </w:tblCellMar>
              </w:tblPrEx>
              <w:trPr>
                <w:trHeight w:val="23" w:hRule="atLeast"/>
              </w:trPr>
              <w:tc>
                <w:tcPr>
                  <w:tcW w:w="959" w:type="pct"/>
                  <w:tcBorders>
                    <w:top w:val="single" w:color="000000" w:sz="12" w:space="0"/>
                    <w:left w:val="nil"/>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被征地户、拆迁户</w:t>
                  </w:r>
                </w:p>
              </w:tc>
              <w:tc>
                <w:tcPr>
                  <w:tcW w:w="1096" w:type="pct"/>
                  <w:tcBorders>
                    <w:top w:val="single" w:color="000000" w:sz="12" w:space="0"/>
                    <w:left w:val="single" w:color="000000" w:sz="4" w:space="0"/>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沿线需征地、拆迁处</w:t>
                  </w:r>
                </w:p>
              </w:tc>
              <w:tc>
                <w:tcPr>
                  <w:tcW w:w="2944" w:type="pct"/>
                  <w:tcBorders>
                    <w:top w:val="single" w:color="000000" w:sz="12" w:space="0"/>
                    <w:left w:val="single" w:color="000000" w:sz="4" w:space="0"/>
                    <w:bottom w:val="single" w:color="000000" w:sz="4"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受征地、拆迁影响的居民生活质量，受施工影响的周围环境，受拆迁影响的社会服务质量等</w:t>
                  </w:r>
                </w:p>
              </w:tc>
            </w:tr>
            <w:tr>
              <w:tblPrEx>
                <w:tblCellMar>
                  <w:top w:w="0" w:type="dxa"/>
                  <w:left w:w="0" w:type="dxa"/>
                  <w:bottom w:w="0" w:type="dxa"/>
                  <w:right w:w="0" w:type="dxa"/>
                </w:tblCellMar>
              </w:tblPrEx>
              <w:trPr>
                <w:trHeight w:val="23" w:hRule="atLeast"/>
              </w:trPr>
              <w:tc>
                <w:tcPr>
                  <w:tcW w:w="959" w:type="pct"/>
                  <w:tcBorders>
                    <w:top w:val="single" w:color="000000" w:sz="4" w:space="0"/>
                    <w:left w:val="nil"/>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土地资源</w:t>
                  </w:r>
                </w:p>
              </w:tc>
              <w:tc>
                <w:tcPr>
                  <w:tcW w:w="1096" w:type="pct"/>
                  <w:tcBorders>
                    <w:top w:val="single" w:color="000000" w:sz="4" w:space="0"/>
                    <w:left w:val="single" w:color="000000" w:sz="4" w:space="0"/>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全线</w:t>
                  </w:r>
                </w:p>
              </w:tc>
              <w:tc>
                <w:tcPr>
                  <w:tcW w:w="2944" w:type="pct"/>
                  <w:tcBorders>
                    <w:top w:val="single" w:color="000000" w:sz="4" w:space="0"/>
                    <w:left w:val="single" w:color="000000" w:sz="4" w:space="0"/>
                    <w:bottom w:val="single" w:color="000000" w:sz="4"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永久和临时占用林地、耕地</w:t>
                  </w:r>
                </w:p>
              </w:tc>
            </w:tr>
            <w:tr>
              <w:tblPrEx>
                <w:tblCellMar>
                  <w:top w:w="0" w:type="dxa"/>
                  <w:left w:w="0" w:type="dxa"/>
                  <w:bottom w:w="0" w:type="dxa"/>
                  <w:right w:w="0" w:type="dxa"/>
                </w:tblCellMar>
              </w:tblPrEx>
              <w:trPr>
                <w:trHeight w:val="23" w:hRule="atLeast"/>
              </w:trPr>
              <w:tc>
                <w:tcPr>
                  <w:tcW w:w="959" w:type="pct"/>
                  <w:tcBorders>
                    <w:top w:val="single" w:color="000000" w:sz="4" w:space="0"/>
                    <w:left w:val="nil"/>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交通影响</w:t>
                  </w:r>
                </w:p>
              </w:tc>
              <w:tc>
                <w:tcPr>
                  <w:tcW w:w="1096" w:type="pct"/>
                  <w:tcBorders>
                    <w:top w:val="single" w:color="000000" w:sz="4" w:space="0"/>
                    <w:left w:val="single" w:color="000000" w:sz="4" w:space="0"/>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全线</w:t>
                  </w:r>
                </w:p>
              </w:tc>
              <w:tc>
                <w:tcPr>
                  <w:tcW w:w="2944" w:type="pct"/>
                  <w:tcBorders>
                    <w:top w:val="single" w:color="000000" w:sz="4" w:space="0"/>
                    <w:left w:val="single" w:color="000000" w:sz="4" w:space="0"/>
                    <w:bottom w:val="single" w:color="000000" w:sz="4"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影响地方交通</w:t>
                  </w:r>
                </w:p>
              </w:tc>
            </w:tr>
            <w:tr>
              <w:tblPrEx>
                <w:tblCellMar>
                  <w:top w:w="0" w:type="dxa"/>
                  <w:left w:w="0" w:type="dxa"/>
                  <w:bottom w:w="0" w:type="dxa"/>
                  <w:right w:w="0" w:type="dxa"/>
                </w:tblCellMar>
              </w:tblPrEx>
              <w:trPr>
                <w:trHeight w:val="23" w:hRule="atLeast"/>
              </w:trPr>
              <w:tc>
                <w:tcPr>
                  <w:tcW w:w="959" w:type="pct"/>
                  <w:tcBorders>
                    <w:top w:val="single" w:color="000000" w:sz="4" w:space="0"/>
                    <w:left w:val="nil"/>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城镇规划区、村庄</w:t>
                  </w:r>
                </w:p>
              </w:tc>
              <w:tc>
                <w:tcPr>
                  <w:tcW w:w="1096" w:type="pct"/>
                  <w:tcBorders>
                    <w:top w:val="single" w:color="000000" w:sz="4" w:space="0"/>
                    <w:left w:val="single" w:color="000000" w:sz="4" w:space="0"/>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沿线途径乡镇、村庄</w:t>
                  </w:r>
                </w:p>
              </w:tc>
              <w:tc>
                <w:tcPr>
                  <w:tcW w:w="2944" w:type="pct"/>
                  <w:tcBorders>
                    <w:top w:val="single" w:color="000000" w:sz="4" w:space="0"/>
                    <w:left w:val="single" w:color="000000" w:sz="4" w:space="0"/>
                    <w:bottom w:val="single" w:color="000000" w:sz="4"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工程施工及运营期噪声、施工扬尘、运营期汽车尾气</w:t>
                  </w:r>
                </w:p>
              </w:tc>
            </w:tr>
            <w:tr>
              <w:tblPrEx>
                <w:tblCellMar>
                  <w:top w:w="0" w:type="dxa"/>
                  <w:left w:w="0" w:type="dxa"/>
                  <w:bottom w:w="0" w:type="dxa"/>
                  <w:right w:w="0" w:type="dxa"/>
                </w:tblCellMar>
              </w:tblPrEx>
              <w:trPr>
                <w:trHeight w:val="23" w:hRule="atLeast"/>
              </w:trPr>
              <w:tc>
                <w:tcPr>
                  <w:tcW w:w="959" w:type="pct"/>
                  <w:tcBorders>
                    <w:top w:val="single" w:color="000000" w:sz="4" w:space="0"/>
                    <w:left w:val="nil"/>
                    <w:bottom w:val="single" w:color="000000" w:sz="12"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文物古迹</w:t>
                  </w:r>
                </w:p>
              </w:tc>
              <w:tc>
                <w:tcPr>
                  <w:tcW w:w="1096" w:type="pct"/>
                  <w:tcBorders>
                    <w:top w:val="single" w:color="000000" w:sz="4" w:space="0"/>
                    <w:left w:val="single" w:color="000000" w:sz="4" w:space="0"/>
                    <w:bottom w:val="single" w:color="000000" w:sz="12"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全线</w:t>
                  </w:r>
                </w:p>
              </w:tc>
              <w:tc>
                <w:tcPr>
                  <w:tcW w:w="2944" w:type="pct"/>
                  <w:tcBorders>
                    <w:top w:val="single" w:color="000000" w:sz="4" w:space="0"/>
                    <w:left w:val="single" w:color="000000" w:sz="4" w:space="0"/>
                    <w:bottom w:val="single" w:color="000000" w:sz="12"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评价范围内有无发现地上/地下文物</w:t>
                  </w:r>
                </w:p>
              </w:tc>
            </w:tr>
          </w:tbl>
          <w:p>
            <w:pPr>
              <w:pStyle w:val="19"/>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9" w:hRule="atLeast"/>
        </w:trPr>
        <w:tc>
          <w:tcPr>
            <w:tcW w:w="310" w:type="pct"/>
            <w:vAlign w:val="center"/>
          </w:tcPr>
          <w:p>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调查重点</w:t>
            </w:r>
          </w:p>
        </w:tc>
        <w:tc>
          <w:tcPr>
            <w:tcW w:w="4689" w:type="pct"/>
          </w:tcPr>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根据环境影响报告表及批复</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结合工程特点确定本次调查的重点是：</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1</w:t>
            </w:r>
            <w:r>
              <w:rPr>
                <w:rFonts w:hint="default" w:ascii="Times New Roman" w:hAnsi="Times New Roman" w:eastAsia="宋体" w:cs="Times New Roman"/>
                <w:color w:val="auto"/>
                <w:kern w:val="0"/>
                <w:sz w:val="24"/>
                <w:highlight w:val="none"/>
              </w:rPr>
              <w:t>）核实实际工程建设内容与环境影响评价文件变更情况</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以及变更造成的环境影响变化情况；</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2</w:t>
            </w:r>
            <w:r>
              <w:rPr>
                <w:rFonts w:hint="default" w:ascii="Times New Roman" w:hAnsi="Times New Roman" w:eastAsia="宋体" w:cs="Times New Roman"/>
                <w:color w:val="auto"/>
                <w:kern w:val="0"/>
                <w:sz w:val="24"/>
                <w:highlight w:val="none"/>
              </w:rPr>
              <w:t>）环境敏感目标基本情况及变更情况；</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3</w:t>
            </w:r>
            <w:r>
              <w:rPr>
                <w:rFonts w:hint="default" w:ascii="Times New Roman" w:hAnsi="Times New Roman" w:eastAsia="宋体" w:cs="Times New Roman"/>
                <w:color w:val="auto"/>
                <w:kern w:val="0"/>
                <w:sz w:val="24"/>
                <w:highlight w:val="none"/>
              </w:rPr>
              <w:t>）环境影响报告表及批复文件提出的环境保护措施落实情况及效果；</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4</w:t>
            </w:r>
            <w:r>
              <w:rPr>
                <w:rFonts w:hint="default" w:ascii="Times New Roman" w:hAnsi="Times New Roman" w:eastAsia="宋体" w:cs="Times New Roman"/>
                <w:color w:val="auto"/>
                <w:kern w:val="0"/>
                <w:sz w:val="24"/>
                <w:highlight w:val="none"/>
              </w:rPr>
              <w:t>）工程造成的生态环境影响、声环境影响、大气环境影响及固体废弃物处置情况；</w:t>
            </w:r>
          </w:p>
          <w:p>
            <w:pPr>
              <w:autoSpaceDE w:val="0"/>
              <w:autoSpaceDN w:val="0"/>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5</w:t>
            </w:r>
            <w:r>
              <w:rPr>
                <w:rFonts w:hint="default" w:ascii="Times New Roman" w:hAnsi="Times New Roman" w:eastAsia="宋体" w:cs="Times New Roman"/>
                <w:color w:val="auto"/>
                <w:kern w:val="0"/>
                <w:sz w:val="24"/>
                <w:highlight w:val="none"/>
              </w:rPr>
              <w:t>）工程施工期实际存在的环境问题以及公众反映强烈的环境问题。</w:t>
            </w:r>
          </w:p>
        </w:tc>
      </w:tr>
    </w:tbl>
    <w:p>
      <w:pPr>
        <w:spacing w:beforeLines="100"/>
        <w:jc w:val="center"/>
        <w:rPr>
          <w:rFonts w:hint="default" w:ascii="Times New Roman" w:hAnsi="Times New Roman" w:eastAsia="宋体" w:cs="Times New Roman"/>
          <w:b/>
          <w:bCs/>
          <w:color w:val="auto"/>
          <w:sz w:val="24"/>
          <w:highlight w:val="none"/>
        </w:rPr>
      </w:pPr>
    </w:p>
    <w:p>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bookmarkStart w:id="2" w:name="_Toc13801"/>
      <w:r>
        <w:rPr>
          <w:rFonts w:hint="default" w:ascii="Times New Roman" w:hAnsi="Times New Roman" w:cs="Times New Roman"/>
          <w:color w:val="auto"/>
          <w:highlight w:val="none"/>
        </w:rPr>
        <w:t>3 验收执行标准</w:t>
      </w:r>
      <w:bookmarkEnd w:id="2"/>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8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 w:type="pct"/>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环境质量标准</w:t>
            </w:r>
          </w:p>
        </w:tc>
        <w:tc>
          <w:tcPr>
            <w:tcW w:w="4735" w:type="pct"/>
          </w:tcPr>
          <w:p>
            <w:pPr>
              <w:pStyle w:val="20"/>
              <w:numPr>
                <w:ilvl w:val="0"/>
                <w:numId w:val="2"/>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环境空气质量标准</w:t>
            </w:r>
          </w:p>
          <w:p>
            <w:pPr>
              <w:pStyle w:val="19"/>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本工程沿线经过区域属二类环境空气质量功能区</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执行《环境空气质量标准》（GB3095-2012）二级标准。有关污染因子的标准限值详见表3-1。</w:t>
            </w:r>
          </w:p>
          <w:p>
            <w:pPr>
              <w:pStyle w:val="20"/>
              <w:spacing w:before="156" w:after="156"/>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表3-1 环境空气质量标准</w:t>
            </w:r>
          </w:p>
          <w:tbl>
            <w:tblPr>
              <w:tblStyle w:val="1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97"/>
              <w:gridCol w:w="2131"/>
              <w:gridCol w:w="2351"/>
              <w:gridCol w:w="19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124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取值时间</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浓度限值（μg/m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1157"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二级标准</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1157"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《环境空气质量标准》（GB3095-2012）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NOx</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TSP</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160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1372" w:type="pct"/>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200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bl>
          <w:p>
            <w:pPr>
              <w:pStyle w:val="20"/>
              <w:numPr>
                <w:ilvl w:val="0"/>
                <w:numId w:val="2"/>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水环境质量标准</w:t>
            </w:r>
          </w:p>
          <w:p>
            <w:pPr>
              <w:pStyle w:val="19"/>
              <w:rPr>
                <w:rFonts w:hint="default" w:ascii="Times New Roman" w:hAnsi="Times New Roman" w:cs="Times New Roman"/>
                <w:sz w:val="24"/>
                <w:szCs w:val="24"/>
                <w:lang w:val="en-US" w:eastAsia="zh-CN"/>
              </w:rPr>
            </w:pPr>
            <w:r>
              <w:rPr>
                <w:rFonts w:ascii="Times New Roman" w:hAnsi="Times New Roman" w:cs="Times New Roman"/>
              </w:rPr>
              <w:t>根据《浙江省水功能区水环境功能区划分方案》</w:t>
            </w:r>
            <w:r>
              <w:rPr>
                <w:rFonts w:hint="eastAsia" w:ascii="Times New Roman" w:hAnsi="Times New Roman" w:cs="Times New Roman"/>
              </w:rPr>
              <w:t>，本项目跨越的姚江段</w:t>
            </w:r>
            <w:r>
              <w:rPr>
                <w:rFonts w:ascii="Times New Roman" w:hAnsi="Times New Roman" w:cs="Times New Roman"/>
              </w:rPr>
              <w:t>水质执行《地表水环境质量标准》（GB3838-2002）中的</w:t>
            </w:r>
            <w:r>
              <w:rPr>
                <w:rFonts w:hint="eastAsia" w:ascii="Times New Roman" w:hAnsi="Times New Roman" w:cs="Times New Roman"/>
              </w:rPr>
              <w:t>II</w:t>
            </w:r>
            <w:r>
              <w:rPr>
                <w:rFonts w:ascii="Times New Roman" w:hAnsi="Times New Roman" w:cs="Times New Roman"/>
              </w:rPr>
              <w:t>类标准</w:t>
            </w:r>
            <w:r>
              <w:rPr>
                <w:rFonts w:hint="eastAsia" w:ascii="Times New Roman" w:hAnsi="Times New Roman" w:cs="Times New Roman"/>
              </w:rPr>
              <w:t>，其余</w:t>
            </w:r>
            <w:r>
              <w:rPr>
                <w:rFonts w:hint="eastAsia" w:ascii="Times New Roman" w:hAnsi="Times New Roman" w:cs="Times New Roman"/>
                <w:lang w:val="en-US" w:eastAsia="zh-CN"/>
              </w:rPr>
              <w:t>内河</w:t>
            </w:r>
            <w:r>
              <w:rPr>
                <w:rFonts w:hint="default" w:ascii="Times New Roman" w:hAnsi="Times New Roman" w:cs="Times New Roman"/>
                <w:sz w:val="24"/>
                <w:szCs w:val="24"/>
                <w:lang w:val="en-US" w:eastAsia="zh-CN"/>
              </w:rPr>
              <w:t>水质执行《地表水环境质量标准》（GB3838-2002）中的Ⅲ类标准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相关标准值见表3-2。</w:t>
            </w:r>
          </w:p>
          <w:p>
            <w:pPr>
              <w:pStyle w:val="20"/>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表3-2 地表水环境质量标准 单位：mg/L</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pH值除外</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777"/>
              <w:gridCol w:w="1157"/>
              <w:gridCol w:w="775"/>
              <w:gridCol w:w="982"/>
              <w:gridCol w:w="1020"/>
              <w:gridCol w:w="1018"/>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1"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w:t>
                  </w:r>
                </w:p>
              </w:tc>
              <w:tc>
                <w:tcPr>
                  <w:tcW w:w="453"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pH</w:t>
                  </w:r>
                </w:p>
              </w:tc>
              <w:tc>
                <w:tcPr>
                  <w:tcW w:w="675"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COD</w:t>
                  </w:r>
                  <w:r>
                    <w:rPr>
                      <w:rFonts w:hint="default" w:ascii="Times New Roman" w:hAnsi="Times New Roman" w:cs="Times New Roman"/>
                      <w:sz w:val="24"/>
                      <w:szCs w:val="24"/>
                      <w:vertAlign w:val="subscript"/>
                      <w:lang w:val="en-US" w:eastAsia="zh-CN"/>
                    </w:rPr>
                    <w:t>Mn</w:t>
                  </w:r>
                </w:p>
              </w:tc>
              <w:tc>
                <w:tcPr>
                  <w:tcW w:w="452"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DO</w:t>
                  </w:r>
                </w:p>
              </w:tc>
              <w:tc>
                <w:tcPr>
                  <w:tcW w:w="573"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BOD</w:t>
                  </w:r>
                  <w:r>
                    <w:rPr>
                      <w:rFonts w:hint="default" w:ascii="Times New Roman" w:hAnsi="Times New Roman" w:cs="Times New Roman"/>
                      <w:sz w:val="24"/>
                      <w:szCs w:val="24"/>
                      <w:vertAlign w:val="subscript"/>
                      <w:lang w:val="en-US" w:eastAsia="zh-CN"/>
                    </w:rPr>
                    <w:t>5</w:t>
                  </w:r>
                </w:p>
              </w:tc>
              <w:tc>
                <w:tcPr>
                  <w:tcW w:w="595"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氨氮</w:t>
                  </w:r>
                </w:p>
              </w:tc>
              <w:tc>
                <w:tcPr>
                  <w:tcW w:w="594"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总磷</w:t>
                  </w:r>
                </w:p>
              </w:tc>
              <w:tc>
                <w:tcPr>
                  <w:tcW w:w="733"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II类标准</w:t>
                  </w:r>
                </w:p>
              </w:tc>
              <w:tc>
                <w:tcPr>
                  <w:tcW w:w="453"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6~9</w:t>
                  </w:r>
                </w:p>
              </w:tc>
              <w:tc>
                <w:tcPr>
                  <w:tcW w:w="675"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4</w:t>
                  </w:r>
                </w:p>
              </w:tc>
              <w:tc>
                <w:tcPr>
                  <w:tcW w:w="452"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6</w:t>
                  </w:r>
                </w:p>
              </w:tc>
              <w:tc>
                <w:tcPr>
                  <w:tcW w:w="573"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3</w:t>
                  </w:r>
                </w:p>
              </w:tc>
              <w:tc>
                <w:tcPr>
                  <w:tcW w:w="595"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eastAsia="宋体" w:cs="Times New Roman"/>
                      <w:sz w:val="24"/>
                      <w:szCs w:val="24"/>
                      <w:lang w:val="en-US" w:eastAsia="zh-CN"/>
                    </w:rPr>
                    <w:t>0.5</w:t>
                  </w:r>
                </w:p>
              </w:tc>
              <w:tc>
                <w:tcPr>
                  <w:tcW w:w="594"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0.1</w:t>
                  </w:r>
                </w:p>
              </w:tc>
              <w:tc>
                <w:tcPr>
                  <w:tcW w:w="733"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top"/>
                </w:tcPr>
                <w:p>
                  <w:pPr>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sz w:val="24"/>
                      <w:szCs w:val="24"/>
                      <w:lang w:val="en-US" w:eastAsia="zh-CN"/>
                    </w:rPr>
                    <w:t>Ⅲ类标准</w:t>
                  </w:r>
                </w:p>
              </w:tc>
              <w:tc>
                <w:tcPr>
                  <w:tcW w:w="453" w:type="pct"/>
                  <w:vAlign w:val="top"/>
                </w:tcPr>
                <w:p>
                  <w:pPr>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sz w:val="24"/>
                      <w:szCs w:val="24"/>
                      <w:lang w:val="en-US" w:eastAsia="zh-CN"/>
                    </w:rPr>
                    <w:t>6~9</w:t>
                  </w:r>
                </w:p>
              </w:tc>
              <w:tc>
                <w:tcPr>
                  <w:tcW w:w="675"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6</w:t>
                  </w:r>
                </w:p>
              </w:tc>
              <w:tc>
                <w:tcPr>
                  <w:tcW w:w="452"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5</w:t>
                  </w:r>
                </w:p>
              </w:tc>
              <w:tc>
                <w:tcPr>
                  <w:tcW w:w="573"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4</w:t>
                  </w:r>
                </w:p>
              </w:tc>
              <w:tc>
                <w:tcPr>
                  <w:tcW w:w="595"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1</w:t>
                  </w:r>
                  <w:r>
                    <w:rPr>
                      <w:rFonts w:hint="default" w:ascii="Times New Roman" w:hAnsi="Times New Roman" w:cs="Times New Roman"/>
                      <w:sz w:val="24"/>
                      <w:szCs w:val="24"/>
                      <w:lang w:val="en-US" w:eastAsia="zh-CN"/>
                    </w:rPr>
                    <w:t>.0</w:t>
                  </w:r>
                </w:p>
              </w:tc>
              <w:tc>
                <w:tcPr>
                  <w:tcW w:w="594"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0.2</w:t>
                  </w:r>
                </w:p>
              </w:tc>
              <w:tc>
                <w:tcPr>
                  <w:tcW w:w="733"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0.05</w:t>
                  </w:r>
                </w:p>
              </w:tc>
            </w:tr>
          </w:tbl>
          <w:p>
            <w:pPr>
              <w:pStyle w:val="20"/>
              <w:tabs>
                <w:tab w:val="left" w:pos="770"/>
              </w:tabs>
              <w:spacing w:before="156" w:after="156"/>
              <w:ind w:left="420" w:leftChars="200" w:firstLine="0" w:firstLineChars="0"/>
              <w:rPr>
                <w:rFonts w:hint="default" w:ascii="Times New Roman" w:hAnsi="Times New Roman" w:cs="Times New Roman"/>
                <w:color w:val="auto"/>
                <w:sz w:val="24"/>
                <w:highlight w:val="none"/>
              </w:rPr>
            </w:pPr>
          </w:p>
          <w:p>
            <w:pPr>
              <w:pStyle w:val="20"/>
              <w:tabs>
                <w:tab w:val="left" w:pos="770"/>
              </w:tabs>
              <w:spacing w:before="156" w:after="156"/>
              <w:ind w:left="420" w:leftChars="200" w:firstLine="0" w:firstLineChars="0"/>
              <w:rPr>
                <w:rFonts w:hint="default" w:ascii="Times New Roman" w:hAnsi="Times New Roman" w:cs="Times New Roman"/>
                <w:color w:val="auto"/>
                <w:sz w:val="24"/>
                <w:highlight w:val="none"/>
              </w:rPr>
            </w:pPr>
          </w:p>
          <w:p>
            <w:pPr>
              <w:pStyle w:val="20"/>
              <w:tabs>
                <w:tab w:val="left" w:pos="770"/>
              </w:tabs>
              <w:spacing w:before="156" w:after="156"/>
              <w:ind w:left="420" w:leftChars="200" w:firstLine="0" w:firstLineChars="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3、声环境质量标准</w:t>
            </w:r>
          </w:p>
          <w:p>
            <w:pPr>
              <w:pStyle w:val="19"/>
              <w:ind w:firstLine="480"/>
              <w:rPr>
                <w:rFonts w:hint="default" w:ascii="Times New Roman" w:hAnsi="Times New Roman" w:cs="Times New Roman"/>
                <w:color w:val="auto"/>
                <w:highlight w:val="none"/>
              </w:rPr>
            </w:pPr>
            <w:r>
              <w:rPr>
                <w:rFonts w:hint="eastAsia" w:ascii="Times New Roman" w:hAnsi="Times New Roman" w:cs="Times New Roman"/>
                <w:color w:val="auto"/>
                <w:kern w:val="0"/>
                <w:highlight w:val="none"/>
                <w:lang w:val="en-US" w:eastAsia="zh-CN"/>
              </w:rPr>
              <w:t>根据</w:t>
            </w:r>
            <w:r>
              <w:rPr>
                <w:rFonts w:hint="default" w:ascii="Times New Roman" w:hAnsi="Times New Roman" w:cs="Times New Roman"/>
                <w:color w:val="auto"/>
                <w:kern w:val="0"/>
                <w:highlight w:val="none"/>
              </w:rPr>
              <w:t>《余姚市声环境功能区划分方案》</w:t>
            </w: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2019</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项目所在地执行</w:t>
            </w:r>
            <w:r>
              <w:rPr>
                <w:rFonts w:hint="default" w:ascii="Times New Roman" w:hAnsi="Times New Roman" w:cs="Times New Roman"/>
                <w:color w:val="auto"/>
                <w:highlight w:val="none"/>
              </w:rPr>
              <w:t>《声环境质量标准》（GB3096-2008）2类标准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道路边线35m范围内执行4a类标准。具体标准值见表3-3。</w:t>
            </w:r>
          </w:p>
          <w:p>
            <w:pPr>
              <w:pStyle w:val="20"/>
              <w:spacing w:before="156" w:after="156"/>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表3-3 声环境质量标准 单位：Leq（dB）A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807"/>
              <w:gridCol w:w="807"/>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358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358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以商业金融、集市贸易为主要功能</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或者居住、商业、工业混杂</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4a类</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358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高速公路、一级公路、二级公路、城市快速路、城市主干道、城市次干道、城市轨道交通（地面段）等</w:t>
                  </w:r>
                </w:p>
              </w:tc>
            </w:tr>
          </w:tbl>
          <w:p>
            <w:pPr>
              <w:rPr>
                <w:rFonts w:hint="default"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264" w:type="pct"/>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污染物排放标准</w:t>
            </w:r>
          </w:p>
        </w:tc>
        <w:tc>
          <w:tcPr>
            <w:tcW w:w="4735" w:type="pct"/>
          </w:tcPr>
          <w:p>
            <w:pPr>
              <w:pStyle w:val="20"/>
              <w:numPr>
                <w:ilvl w:val="0"/>
                <w:numId w:val="3"/>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施工期废气污染物排放标准</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本项目废气为施工期土石方的挖掘、施工材料装卸和施工材料运输所产生的道路扬尘、各种施工机械和运输车辆尾气排放。废气排放执行《大气污染物综合排放标准》（GB16297-1996）中的二级标准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详见表3-4。</w:t>
            </w:r>
          </w:p>
          <w:p>
            <w:pPr>
              <w:pStyle w:val="20"/>
              <w:spacing w:before="156" w:after="156"/>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表3-4 大气污染物综合排放标准（单位mg/m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bl>
            <w:tblPr>
              <w:tblStyle w:val="16"/>
              <w:tblpPr w:leftFromText="180" w:rightFromText="180" w:vertAnchor="text" w:horzAnchor="page" w:tblpXSpec="center" w:tblpY="5"/>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596"/>
              <w:gridCol w:w="1227"/>
              <w:gridCol w:w="1337"/>
              <w:gridCol w:w="1438"/>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51"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931"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最高允许排放浓度（mg/m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496" w:type="pct"/>
                  <w:gridSpan w:val="2"/>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最高允许排放速率</w:t>
                  </w:r>
                </w:p>
              </w:tc>
              <w:tc>
                <w:tcPr>
                  <w:tcW w:w="1620" w:type="pct"/>
                  <w:gridSpan w:val="2"/>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无组织排放监控浓度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1" w:type="pct"/>
                  <w:vMerge w:val="continue"/>
                  <w:vAlign w:val="center"/>
                </w:tcPr>
                <w:p>
                  <w:pPr>
                    <w:jc w:val="center"/>
                    <w:rPr>
                      <w:rFonts w:hint="default" w:ascii="Times New Roman" w:hAnsi="Times New Roman" w:cs="Times New Roman"/>
                      <w:color w:val="auto"/>
                      <w:sz w:val="21"/>
                      <w:szCs w:val="21"/>
                      <w:highlight w:val="none"/>
                    </w:rPr>
                  </w:pPr>
                </w:p>
              </w:tc>
              <w:tc>
                <w:tcPr>
                  <w:tcW w:w="931" w:type="pct"/>
                  <w:vMerge w:val="continue"/>
                  <w:vAlign w:val="center"/>
                </w:tcPr>
                <w:p>
                  <w:pPr>
                    <w:jc w:val="center"/>
                    <w:rPr>
                      <w:rFonts w:hint="default" w:ascii="Times New Roman" w:hAnsi="Times New Roman" w:cs="Times New Roman"/>
                      <w:color w:val="auto"/>
                      <w:sz w:val="21"/>
                      <w:szCs w:val="21"/>
                      <w:highlight w:val="none"/>
                    </w:rPr>
                  </w:pP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排气筒高度（m）</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二级标准（kg/h）</w:t>
                  </w:r>
                </w:p>
              </w:tc>
              <w:tc>
                <w:tcPr>
                  <w:tcW w:w="83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监控点</w:t>
                  </w:r>
                </w:p>
              </w:tc>
              <w:tc>
                <w:tcPr>
                  <w:tcW w:w="78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93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83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周界外浓度最高点</w:t>
                  </w:r>
                </w:p>
              </w:tc>
              <w:tc>
                <w:tcPr>
                  <w:tcW w:w="78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沥青烟气</w:t>
                  </w:r>
                </w:p>
              </w:tc>
              <w:tc>
                <w:tcPr>
                  <w:tcW w:w="93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w:t>
                  </w: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0.18</w:t>
                  </w:r>
                </w:p>
              </w:tc>
              <w:tc>
                <w:tcPr>
                  <w:tcW w:w="1620" w:type="pct"/>
                  <w:gridSpan w:val="2"/>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不得有明显无组织排放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93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83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周界外浓度最高点</w:t>
                  </w:r>
                </w:p>
              </w:tc>
              <w:tc>
                <w:tcPr>
                  <w:tcW w:w="78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氮氧化物</w:t>
                  </w:r>
                </w:p>
              </w:tc>
              <w:tc>
                <w:tcPr>
                  <w:tcW w:w="93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w:t>
                  </w: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0.77</w:t>
                  </w:r>
                </w:p>
              </w:tc>
              <w:tc>
                <w:tcPr>
                  <w:tcW w:w="83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周界外浓度最高点</w:t>
                  </w:r>
                </w:p>
              </w:tc>
              <w:tc>
                <w:tcPr>
                  <w:tcW w:w="78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0.12</w:t>
                  </w:r>
                </w:p>
              </w:tc>
            </w:tr>
          </w:tbl>
          <w:p>
            <w:pPr>
              <w:pStyle w:val="20"/>
              <w:numPr>
                <w:ilvl w:val="0"/>
                <w:numId w:val="3"/>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施工期废水排放标准</w:t>
            </w:r>
          </w:p>
          <w:p>
            <w:pPr>
              <w:pStyle w:val="19"/>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kern w:val="0"/>
                <w:highlight w:val="none"/>
              </w:rPr>
              <w:t>为道路验收项目</w:t>
            </w:r>
            <w:r>
              <w:rPr>
                <w:rFonts w:hint="eastAsia" w:ascii="Times New Roman" w:hAnsi="Times New Roman" w:cs="Times New Roman"/>
                <w:color w:val="auto"/>
                <w:kern w:val="0"/>
                <w:highlight w:val="none"/>
                <w:lang w:eastAsia="zh-CN"/>
              </w:rPr>
              <w:t>，</w:t>
            </w:r>
            <w:r>
              <w:t>施工期</w:t>
            </w:r>
            <w:r>
              <w:rPr>
                <w:rFonts w:hint="eastAsia"/>
                <w:lang w:val="en-US" w:eastAsia="zh-CN"/>
              </w:rPr>
              <w:t>生活污水</w:t>
            </w:r>
            <w:r>
              <w:t>经</w:t>
            </w:r>
            <w:r>
              <w:rPr>
                <w:rFonts w:hint="eastAsia"/>
                <w:lang w:val="en-US" w:eastAsia="zh-CN"/>
              </w:rPr>
              <w:t>化粪池预</w:t>
            </w:r>
            <w:r>
              <w:t>处理后</w:t>
            </w:r>
            <w:r>
              <w:rPr>
                <w:rFonts w:hint="eastAsia"/>
                <w:lang w:val="en-US" w:eastAsia="zh-CN"/>
              </w:rPr>
              <w:t>纳</w:t>
            </w:r>
            <w:r>
              <w:rPr>
                <w:rFonts w:hint="eastAsia" w:eastAsia="宋体"/>
                <w:lang w:val="en-US" w:eastAsia="zh-CN"/>
              </w:rPr>
              <w:t>管排放</w:t>
            </w:r>
            <w:r>
              <w:rPr>
                <w:rFonts w:hint="default" w:eastAsia="宋体"/>
                <w:lang w:val="en-US" w:eastAsia="zh-CN"/>
              </w:rPr>
              <w:t>。施</w:t>
            </w:r>
            <w:r>
              <w:rPr>
                <w:rFonts w:hint="default" w:ascii="Times New Roman" w:hAnsi="Times New Roman" w:cs="Times New Roman"/>
                <w:color w:val="auto"/>
                <w:kern w:val="0"/>
                <w:highlight w:val="none"/>
              </w:rPr>
              <w:t>工废水在施工期设置简易隔油沉淀池</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经隔油沉淀后上清液回用于施工期的道路及场地内洒水抑尘</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不外排</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沉淀泥沙由施工单位规范运输至当地指定场地消纳。</w:t>
            </w:r>
          </w:p>
          <w:p>
            <w:pPr>
              <w:pStyle w:val="19"/>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本项目为非生产性建设项目</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营运期不产生废水。</w:t>
            </w:r>
          </w:p>
          <w:p>
            <w:pPr>
              <w:pStyle w:val="32"/>
              <w:keepNext w:val="0"/>
              <w:keepLines w:val="0"/>
              <w:pageBreakBefore w:val="0"/>
              <w:widowControl/>
              <w:kinsoku/>
              <w:wordWrap/>
              <w:overflowPunct/>
              <w:topLinePunct w:val="0"/>
              <w:autoSpaceDE/>
              <w:autoSpaceDN/>
              <w:bidi w:val="0"/>
              <w:adjustRightInd/>
              <w:snapToGrid/>
              <w:spacing w:after="0" w:afterLines="0"/>
              <w:textAlignment w:val="auto"/>
            </w:pPr>
          </w:p>
          <w:p>
            <w:pPr>
              <w:pStyle w:val="32"/>
              <w:keepNext w:val="0"/>
              <w:keepLines w:val="0"/>
              <w:pageBreakBefore w:val="0"/>
              <w:widowControl/>
              <w:kinsoku/>
              <w:wordWrap/>
              <w:overflowPunct/>
              <w:topLinePunct w:val="0"/>
              <w:autoSpaceDE/>
              <w:autoSpaceDN/>
              <w:bidi w:val="0"/>
              <w:adjustRightInd/>
              <w:snapToGrid/>
              <w:spacing w:after="0" w:afterLines="0"/>
              <w:textAlignment w:val="auto"/>
            </w:pPr>
          </w:p>
          <w:p>
            <w:pPr>
              <w:pStyle w:val="32"/>
              <w:keepNext w:val="0"/>
              <w:keepLines w:val="0"/>
              <w:pageBreakBefore w:val="0"/>
              <w:widowControl/>
              <w:kinsoku/>
              <w:wordWrap/>
              <w:overflowPunct/>
              <w:topLinePunct w:val="0"/>
              <w:autoSpaceDE/>
              <w:autoSpaceDN/>
              <w:bidi w:val="0"/>
              <w:adjustRightInd/>
              <w:snapToGrid/>
              <w:spacing w:after="0" w:afterLines="0"/>
              <w:textAlignment w:val="auto"/>
            </w:pPr>
          </w:p>
          <w:p>
            <w:pPr>
              <w:pStyle w:val="32"/>
              <w:keepNext w:val="0"/>
              <w:keepLines w:val="0"/>
              <w:pageBreakBefore w:val="0"/>
              <w:widowControl/>
              <w:kinsoku/>
              <w:wordWrap/>
              <w:overflowPunct/>
              <w:topLinePunct w:val="0"/>
              <w:autoSpaceDE/>
              <w:autoSpaceDN/>
              <w:bidi w:val="0"/>
              <w:adjustRightInd/>
              <w:snapToGrid/>
              <w:spacing w:after="0" w:afterLines="0"/>
              <w:textAlignment w:val="auto"/>
            </w:pPr>
            <w:r>
              <w:t>表</w:t>
            </w:r>
            <w:r>
              <w:rPr>
                <w:rFonts w:hint="eastAsia"/>
                <w:lang w:val="en-US" w:eastAsia="zh-CN"/>
              </w:rPr>
              <w:t xml:space="preserve">3-5 </w:t>
            </w:r>
            <w:r>
              <w:t>《污水综合排放标准》</w:t>
            </w:r>
            <w:r>
              <w:rPr>
                <w:rFonts w:hint="eastAsia"/>
                <w:lang w:eastAsia="zh-CN"/>
              </w:rPr>
              <w:t>（</w:t>
            </w:r>
            <w:r>
              <w:t>GB8978-96</w:t>
            </w:r>
            <w:r>
              <w:rPr>
                <w:rFonts w:hint="eastAsia"/>
                <w:lang w:eastAsia="zh-CN"/>
              </w:rPr>
              <w:t>）</w:t>
            </w:r>
            <w:r>
              <w:t>单位：mg/L，pH除外</w:t>
            </w:r>
          </w:p>
          <w:p>
            <w:pPr>
              <w:widowControl w:val="0"/>
              <w:spacing w:line="22" w:lineRule="exact"/>
              <w:jc w:val="both"/>
            </w:pPr>
          </w:p>
          <w:tbl>
            <w:tblPr>
              <w:tblStyle w:val="3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82"/>
              <w:gridCol w:w="5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1914" w:type="pct"/>
                  <w:tcBorders>
                    <w:tl2br w:val="single" w:color="000000" w:sz="4" w:space="0"/>
                  </w:tcBorders>
                  <w:vAlign w:val="center"/>
                </w:tcPr>
                <w:p>
                  <w:pPr>
                    <w:pStyle w:val="33"/>
                    <w:wordWrap w:val="0"/>
                    <w:bidi w:val="0"/>
                    <w:jc w:val="right"/>
                    <w:rPr>
                      <w:rFonts w:hint="default" w:eastAsia="宋体"/>
                      <w:b/>
                      <w:bCs w:val="0"/>
                      <w:lang w:val="en-US" w:eastAsia="zh-CN"/>
                    </w:rPr>
                  </w:pPr>
                  <w:r>
                    <w:rPr>
                      <w:b/>
                      <w:bCs w:val="0"/>
                    </w:rPr>
                    <w:t>类别</w:t>
                  </w:r>
                </w:p>
                <w:p>
                  <w:pPr>
                    <w:pStyle w:val="33"/>
                    <w:bidi w:val="0"/>
                    <w:ind w:firstLine="422" w:firstLineChars="200"/>
                    <w:jc w:val="left"/>
                    <w:rPr>
                      <w:b/>
                      <w:bCs w:val="0"/>
                    </w:rPr>
                  </w:pPr>
                  <w:r>
                    <w:rPr>
                      <w:b/>
                      <w:bCs w:val="0"/>
                    </w:rPr>
                    <w:t>项目</w:t>
                  </w:r>
                </w:p>
              </w:tc>
              <w:tc>
                <w:tcPr>
                  <w:tcW w:w="3085" w:type="pct"/>
                  <w:vAlign w:val="center"/>
                </w:tcPr>
                <w:p>
                  <w:pPr>
                    <w:pStyle w:val="33"/>
                    <w:bidi w:val="0"/>
                    <w:jc w:val="center"/>
                    <w:rPr>
                      <w:b/>
                      <w:bCs w:val="0"/>
                    </w:rPr>
                  </w:pPr>
                  <w:r>
                    <w:rPr>
                      <w:b/>
                      <w:bCs w:val="0"/>
                    </w:rPr>
                    <w:t>《污水综合排放标准》</w:t>
                  </w:r>
                  <w:r>
                    <w:rPr>
                      <w:rFonts w:hint="eastAsia"/>
                      <w:b/>
                      <w:bCs w:val="0"/>
                      <w:lang w:eastAsia="zh-CN"/>
                    </w:rPr>
                    <w:t>（</w:t>
                  </w:r>
                  <w:r>
                    <w:rPr>
                      <w:b/>
                      <w:bCs w:val="0"/>
                    </w:rPr>
                    <w:t>GB8978-1996</w:t>
                  </w:r>
                  <w:r>
                    <w:rPr>
                      <w:rFonts w:hint="eastAsia"/>
                      <w:b/>
                      <w:bCs w:val="0"/>
                      <w:lang w:eastAsia="zh-CN"/>
                    </w:rPr>
                    <w:t>）</w:t>
                  </w:r>
                  <w:r>
                    <w:rPr>
                      <w:b/>
                      <w:bCs w:val="0"/>
                    </w:rPr>
                    <w:t>一级标准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pH</w:t>
                  </w:r>
                </w:p>
              </w:tc>
              <w:tc>
                <w:tcPr>
                  <w:tcW w:w="3085" w:type="pct"/>
                  <w:vAlign w:val="center"/>
                </w:tcPr>
                <w:p>
                  <w:pPr>
                    <w:pStyle w:val="33"/>
                    <w:bidi w:val="0"/>
                    <w:jc w:val="center"/>
                  </w:pPr>
                  <w: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BOD</w:t>
                  </w:r>
                  <w:r>
                    <w:rPr>
                      <w:vertAlign w:val="subscript"/>
                    </w:rPr>
                    <w:t>5</w:t>
                  </w:r>
                </w:p>
              </w:tc>
              <w:tc>
                <w:tcPr>
                  <w:tcW w:w="3085" w:type="pct"/>
                  <w:vAlign w:val="center"/>
                </w:tcPr>
                <w:p>
                  <w:pPr>
                    <w:pStyle w:val="33"/>
                    <w:bidi w:val="0"/>
                    <w:jc w:val="center"/>
                  </w:pPr>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COD</w:t>
                  </w:r>
                </w:p>
              </w:tc>
              <w:tc>
                <w:tcPr>
                  <w:tcW w:w="3085" w:type="pct"/>
                  <w:vAlign w:val="center"/>
                </w:tcPr>
                <w:p>
                  <w:pPr>
                    <w:pStyle w:val="33"/>
                    <w:bidi w:val="0"/>
                    <w:jc w:val="center"/>
                  </w:pPr>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氨氮</w:t>
                  </w:r>
                </w:p>
              </w:tc>
              <w:tc>
                <w:tcPr>
                  <w:tcW w:w="3085" w:type="pct"/>
                  <w:vAlign w:val="center"/>
                </w:tcPr>
                <w:p>
                  <w:pPr>
                    <w:pStyle w:val="33"/>
                    <w:bidi w:val="0"/>
                    <w:jc w:val="center"/>
                  </w:pPr>
                  <w: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石油类</w:t>
                  </w:r>
                </w:p>
              </w:tc>
              <w:tc>
                <w:tcPr>
                  <w:tcW w:w="3085" w:type="pct"/>
                  <w:vAlign w:val="center"/>
                </w:tcPr>
                <w:p>
                  <w:pPr>
                    <w:pStyle w:val="33"/>
                    <w:bidi w:val="0"/>
                    <w:jc w:val="center"/>
                  </w:pPr>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动植物油类</w:t>
                  </w:r>
                </w:p>
              </w:tc>
              <w:tc>
                <w:tcPr>
                  <w:tcW w:w="3085" w:type="pct"/>
                  <w:vAlign w:val="center"/>
                </w:tcPr>
                <w:p>
                  <w:pPr>
                    <w:pStyle w:val="33"/>
                    <w:bidi w:val="0"/>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SS</w:t>
                  </w:r>
                </w:p>
              </w:tc>
              <w:tc>
                <w:tcPr>
                  <w:tcW w:w="3085" w:type="pct"/>
                  <w:vAlign w:val="center"/>
                </w:tcPr>
                <w:p>
                  <w:pPr>
                    <w:pStyle w:val="33"/>
                    <w:bidi w:val="0"/>
                    <w:jc w:val="center"/>
                  </w:pPr>
                  <w:r>
                    <w:t>70</w:t>
                  </w:r>
                </w:p>
              </w:tc>
            </w:tr>
          </w:tbl>
          <w:p>
            <w:pPr>
              <w:pStyle w:val="20"/>
              <w:numPr>
                <w:ilvl w:val="0"/>
                <w:numId w:val="3"/>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噪声排放标准</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施工期噪声执行《建筑施工场界噪声限值》（GB12523-2011）</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即昼间70dBA</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夜间55dBA。</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运营期噪声为过往车辆产生的交通噪声</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highlight w:val="none"/>
              </w:rPr>
              <w:t>根据声环境功能区划</w:t>
            </w:r>
            <w:r>
              <w:rPr>
                <w:rFonts w:hint="eastAsia" w:ascii="Times New Roman" w:hAnsi="Times New Roman" w:cs="Times New Roman"/>
                <w:color w:val="auto"/>
                <w:highlight w:val="none"/>
                <w:lang w:eastAsia="zh-CN"/>
              </w:rPr>
              <w:t>，</w:t>
            </w:r>
            <w:r>
              <w:rPr>
                <w:rFonts w:hint="default" w:ascii="Times New Roman" w:hAnsi="Times New Roman" w:cs="Times New Roman"/>
                <w:color w:val="auto"/>
                <w:kern w:val="0"/>
                <w:highlight w:val="none"/>
              </w:rPr>
              <w:t>项目所在地执行</w:t>
            </w:r>
            <w:r>
              <w:rPr>
                <w:rFonts w:hint="default" w:ascii="Times New Roman" w:hAnsi="Times New Roman" w:cs="Times New Roman"/>
                <w:color w:val="auto"/>
                <w:highlight w:val="none"/>
              </w:rPr>
              <w:t>《声环境质量标准》（GB3096-2008）2类标准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道路边线35m范围内执行4a类标准。</w:t>
            </w:r>
          </w:p>
          <w:p>
            <w:pPr>
              <w:pStyle w:val="20"/>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表3-</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 xml:space="preserve"> 声环境质量标准 单位：Leq（dB）A</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5"/>
              <w:gridCol w:w="2856"/>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类别</w:t>
                  </w:r>
                </w:p>
              </w:tc>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昼间</w:t>
                  </w:r>
                </w:p>
              </w:tc>
              <w:tc>
                <w:tcPr>
                  <w:tcW w:w="1667"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2类</w:t>
                  </w:r>
                </w:p>
              </w:tc>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60</w:t>
                  </w:r>
                </w:p>
              </w:tc>
              <w:tc>
                <w:tcPr>
                  <w:tcW w:w="1667"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4a类</w:t>
                  </w:r>
                </w:p>
              </w:tc>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70</w:t>
                  </w:r>
                </w:p>
              </w:tc>
              <w:tc>
                <w:tcPr>
                  <w:tcW w:w="1667"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55</w:t>
                  </w:r>
                </w:p>
              </w:tc>
            </w:tr>
          </w:tbl>
          <w:p>
            <w:pPr>
              <w:pStyle w:val="19"/>
              <w:ind w:firstLine="48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trPr>
        <w:tc>
          <w:tcPr>
            <w:tcW w:w="264" w:type="pct"/>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总量控制指标</w:t>
            </w:r>
          </w:p>
        </w:tc>
        <w:tc>
          <w:tcPr>
            <w:tcW w:w="4735" w:type="pct"/>
          </w:tcPr>
          <w:p>
            <w:pPr>
              <w:pStyle w:val="19"/>
              <w:ind w:firstLine="480"/>
              <w:rPr>
                <w:rFonts w:hint="default" w:ascii="Times New Roman" w:hAnsi="Times New Roman" w:cs="Times New Roman"/>
                <w:color w:val="auto"/>
                <w:highlight w:val="none"/>
              </w:rPr>
            </w:pPr>
            <w:r>
              <w:rPr>
                <w:rFonts w:hint="eastAsia" w:ascii="Times New Roman" w:hAnsi="Times New Roman" w:cs="Times New Roman"/>
                <w:sz w:val="24"/>
                <w:szCs w:val="24"/>
                <w:lang w:val="en-US" w:eastAsia="zh-CN"/>
              </w:rPr>
              <w:t>本工程施工期对周围环境的影响是短期的，施工完成后，影响也随之消失。营运期产生的汽车尾气的主要污染因子为CO和NOx，未列入总量控制指标；根据《关于印发浙江省建设项目主要污染物总量准入审核办法（试行）的通知》（浙环发[2012]10号）的精神，由于项目COD系全部由生活污水排放，因此本项目COD总量不需进行区域平衡。</w:t>
            </w:r>
            <w:r>
              <w:rPr>
                <w:rFonts w:hint="default" w:ascii="Times New Roman" w:hAnsi="Times New Roman" w:eastAsia="宋体" w:cs="Times New Roman"/>
                <w:sz w:val="24"/>
                <w:szCs w:val="24"/>
                <w:lang w:val="en-US" w:eastAsia="zh-CN"/>
              </w:rPr>
              <w:t>因此本项目不设总量控制指标。</w:t>
            </w:r>
          </w:p>
        </w:tc>
      </w:tr>
    </w:tbl>
    <w:p>
      <w:pPr>
        <w:spacing w:beforeLines="100"/>
        <w:jc w:val="center"/>
        <w:rPr>
          <w:rFonts w:hint="default" w:ascii="Times New Roman" w:hAnsi="Times New Roman" w:eastAsia="宋体" w:cs="Times New Roman"/>
          <w:b/>
          <w:bCs/>
          <w:color w:val="auto"/>
          <w:sz w:val="24"/>
          <w:highlight w:val="none"/>
        </w:rPr>
      </w:pPr>
    </w:p>
    <w:p>
      <w:pPr>
        <w:pStyle w:val="3"/>
        <w:rPr>
          <w:rFonts w:hint="default" w:ascii="Times New Roman" w:hAnsi="Times New Roman" w:eastAsia="宋体" w:cs="Times New Roman"/>
          <w:bCs/>
          <w:color w:val="auto"/>
          <w:highlight w:val="none"/>
        </w:rPr>
      </w:pPr>
      <w:r>
        <w:rPr>
          <w:rFonts w:hint="default" w:ascii="Times New Roman" w:hAnsi="Times New Roman" w:cs="Times New Roman"/>
          <w:color w:val="auto"/>
          <w:highlight w:val="none"/>
        </w:rPr>
        <w:br w:type="page"/>
      </w:r>
      <w:bookmarkStart w:id="3" w:name="_Toc20419"/>
      <w:r>
        <w:rPr>
          <w:rFonts w:hint="default" w:ascii="Times New Roman" w:hAnsi="Times New Roman" w:cs="Times New Roman"/>
          <w:color w:val="auto"/>
          <w:highlight w:val="none"/>
        </w:rPr>
        <w:t>4 工程概况</w:t>
      </w:r>
      <w:bookmarkEnd w:id="3"/>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8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25"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项目名称</w:t>
            </w:r>
          </w:p>
        </w:tc>
        <w:tc>
          <w:tcPr>
            <w:tcW w:w="447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余姚市余梁公路北延工程I、II标段工程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25" w:type="pct"/>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项目地理位置</w:t>
            </w:r>
          </w:p>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（附地理位置图）</w:t>
            </w:r>
          </w:p>
        </w:tc>
        <w:tc>
          <w:tcPr>
            <w:tcW w:w="4474"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余梁公路北延工程</w:t>
            </w:r>
            <w:r>
              <w:rPr>
                <w:rFonts w:hint="default" w:ascii="Times New Roman" w:hAnsi="Times New Roman" w:cs="Times New Roman"/>
                <w:color w:val="auto"/>
                <w:sz w:val="24"/>
                <w:highlight w:val="none"/>
                <w:lang w:val="en-US" w:eastAsia="zh-CN"/>
              </w:rPr>
              <w:t>起点为谭家岭西路与余梁公路交叉口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往北经世南西路、姚江、长元路、阳明西路、下穿萧甬铁路、甬余公路、畈周、华山村、隧道通过华家山</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终点为东连接线与梁周线交叉口</w:t>
            </w:r>
            <w:r>
              <w:rPr>
                <w:rFonts w:hint="eastAsia" w:ascii="Times New Roman" w:hAnsi="Times New Roman" w:cs="Times New Roman"/>
                <w:color w:val="auto"/>
                <w:sz w:val="24"/>
                <w:highlight w:val="none"/>
                <w:lang w:val="en-US" w:eastAsia="zh-CN"/>
              </w:rPr>
              <w:t>。其中</w:t>
            </w:r>
            <w:r>
              <w:rPr>
                <w:rFonts w:hint="default" w:ascii="Times New Roman" w:hAnsi="Times New Roman" w:cs="Times New Roman"/>
                <w:color w:val="auto"/>
                <w:sz w:val="24"/>
                <w:highlight w:val="none"/>
                <w:lang w:val="en-US" w:eastAsia="zh-CN"/>
              </w:rPr>
              <w:t>I标段为K0+000-K3+100段、Ⅱ标段为K3+100-K3+810段</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起自谭家岭西路与余梁公路交叉口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终点在六一省道与余梁公路交叉口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eastAsia="zh-CN"/>
              </w:rPr>
              <w:t>地理位置详见图</w:t>
            </w:r>
            <w:r>
              <w:rPr>
                <w:rFonts w:hint="default" w:ascii="Times New Roman" w:hAnsi="Times New Roman" w:cs="Times New Roman"/>
                <w:color w:val="auto"/>
                <w:sz w:val="24"/>
                <w:highlight w:val="none"/>
                <w:lang w:val="en-US" w:eastAsia="zh-CN"/>
              </w:rPr>
              <w:t>4-1。</w:t>
            </w:r>
          </w:p>
          <w:p>
            <w:pPr>
              <w:pStyle w:val="2"/>
              <w:rPr>
                <w:rFonts w:hint="eastAsia" w:ascii="Times New Roman" w:hAnsi="Times New Roman" w:cs="Times New Roman" w:eastAsiaTheme="minorEastAsia"/>
                <w:color w:val="auto"/>
                <w:highlight w:val="none"/>
                <w:lang w:eastAsia="zh-CN"/>
              </w:rPr>
            </w:pPr>
            <w:r>
              <w:rPr>
                <w:sz w:val="21"/>
              </w:rPr>
              <w:pict>
                <v:shape id="_x0000_s2062" o:spid="_x0000_s2062" o:spt="202" type="#_x0000_t202" style="position:absolute;left:0pt;margin-left:285.2pt;margin-top:20.5pt;height:27.95pt;width:77.75pt;z-index:251664384;mso-width-relative:page;mso-height-relative:page;" filled="f" stroked="f" coordsize="21600,21600">
                  <v:path/>
                  <v:fill on="f" focussize="0,0"/>
                  <v:stroke on="f"/>
                  <v:imagedata o:title=""/>
                  <o:lock v:ext="edit" aspectratio="f"/>
                  <v:textbox>
                    <w:txbxContent>
                      <w:p>
                        <w:pPr>
                          <w:rPr>
                            <w:rFonts w:hint="default"/>
                            <w:lang w:val="en-US" w:eastAsia="zh-CN"/>
                          </w:rPr>
                        </w:pPr>
                        <w:r>
                          <w:rPr>
                            <w:rFonts w:hint="eastAsia"/>
                            <w:color w:val="FFC000"/>
                            <w:lang w:val="en-US" w:eastAsia="zh-CN"/>
                          </w:rPr>
                          <w:t>终点</w:t>
                        </w:r>
                      </w:p>
                    </w:txbxContent>
                  </v:textbox>
                </v:shape>
              </w:pict>
            </w:r>
            <w:r>
              <w:rPr>
                <w:sz w:val="21"/>
              </w:rPr>
              <w:pict>
                <v:shape id="_x0000_s2061" o:spid="_x0000_s2061" o:spt="202" type="#_x0000_t202" style="position:absolute;left:0pt;margin-left:103.45pt;margin-top:241pt;height:27.95pt;width:77.75pt;z-index:251663360;mso-width-relative:page;mso-height-relative:page;" filled="f" stroked="f" coordsize="21600,21600">
                  <v:path/>
                  <v:fill on="f" focussize="0,0"/>
                  <v:stroke on="f"/>
                  <v:imagedata o:title=""/>
                  <o:lock v:ext="edit" aspectratio="f"/>
                  <v:textbox>
                    <w:txbxContent>
                      <w:p>
                        <w:pPr>
                          <w:rPr>
                            <w:rFonts w:hint="eastAsia" w:eastAsiaTheme="minorEastAsia"/>
                            <w:color w:val="FFC000"/>
                            <w:lang w:val="en-US" w:eastAsia="zh-CN"/>
                          </w:rPr>
                        </w:pPr>
                        <w:r>
                          <w:rPr>
                            <w:rFonts w:hint="eastAsia"/>
                            <w:color w:val="FFC000"/>
                            <w:lang w:val="en-US" w:eastAsia="zh-CN"/>
                          </w:rPr>
                          <w:t>起点</w:t>
                        </w:r>
                      </w:p>
                    </w:txbxContent>
                  </v:textbox>
                </v:shape>
              </w:pict>
            </w:r>
            <w:r>
              <w:rPr>
                <w:sz w:val="21"/>
              </w:rPr>
              <w:pict>
                <v:shape id="_x0000_s2060" o:spid="_x0000_s2060" o:spt="61" type="#_x0000_t61" style="position:absolute;left:0pt;margin-left:183.95pt;margin-top:132.2pt;height:22.5pt;width:94.75pt;z-index:251662336;mso-width-relative:page;mso-height-relative:page;" filled="f" stroked="t" coordsize="21600,21600" adj="-6735,43920">
                  <v:path/>
                  <v:fill on="f" focussize="0,0"/>
                  <v:stroke color="#000000" joinstyle="miter"/>
                  <v:imagedata o:title=""/>
                  <o:lock v:ext="edit" aspectratio="f"/>
                  <v:textbox>
                    <w:txbxContent>
                      <w:p>
                        <w:pPr>
                          <w:rPr>
                            <w:rFonts w:hint="default" w:eastAsiaTheme="minorEastAsia"/>
                            <w:color w:val="FF0000"/>
                            <w:lang w:val="en-US" w:eastAsia="zh-CN"/>
                          </w:rPr>
                        </w:pPr>
                        <w:r>
                          <w:rPr>
                            <w:rFonts w:hint="eastAsia"/>
                            <w:color w:val="FF0000"/>
                            <w:lang w:val="en-US" w:eastAsia="zh-CN"/>
                          </w:rPr>
                          <w:t>I、II标段所在位置</w:t>
                        </w:r>
                      </w:p>
                    </w:txbxContent>
                  </v:textbox>
                </v:shape>
              </w:pict>
            </w:r>
            <w:r>
              <w:rPr>
                <w:sz w:val="21"/>
              </w:rPr>
              <w:pict>
                <v:shape id="_x0000_s2050" o:spid="_x0000_s2050" o:spt="61" type="#_x0000_t61" style="position:absolute;left:0pt;margin-left:203.6pt;margin-top:59.8pt;height:22.5pt;width:79.35pt;z-index:251659264;mso-width-relative:page;mso-height-relative:page;" filled="f" stroked="t" coordsize="21600,21600" adj="-7988,40368">
                  <v:path/>
                  <v:fill on="f" focussize="0,0"/>
                  <v:stroke color="#000000"/>
                  <v:imagedata o:title=""/>
                  <o:lock v:ext="edit" aspectratio="f"/>
                  <v:textbox>
                    <w:txbxContent>
                      <w:p>
                        <w:pPr>
                          <w:rPr>
                            <w:rFonts w:hint="default" w:eastAsiaTheme="minorEastAsia"/>
                            <w:color w:val="FF0000"/>
                            <w:lang w:val="en-US" w:eastAsia="zh-CN"/>
                          </w:rPr>
                        </w:pPr>
                        <w:r>
                          <w:rPr>
                            <w:rFonts w:hint="eastAsia"/>
                            <w:color w:val="FFC000" w:themeColor="accent4"/>
                            <w:lang w:val="en-US" w:eastAsia="zh-CN"/>
                          </w:rPr>
                          <w:t>项目所在位置</w:t>
                        </w:r>
                      </w:p>
                    </w:txbxContent>
                  </v:textbox>
                </v:shape>
              </w:pict>
            </w:r>
            <w:r>
              <w:rPr>
                <w:sz w:val="48"/>
              </w:rPr>
              <w:pict>
                <v:shape id="_x0000_s2059" o:spid="_x0000_s2059" style="position:absolute;left:0pt;margin-left:216.4pt;margin-top:23.85pt;height:10.7pt;width:70.7pt;z-index:251661312;mso-width-relative:page;mso-height-relative:page;" filled="f" stroked="t" coordsize="1414,214" path="m0,214hac19,207,71,211,113,198hbc155,185,179,188,220,182hbc261,176,274,160,316,155hbc358,150,381,140,423,129hbc465,118,488,118,530,107hbc572,96,595,87,638,80hbc681,73,703,67,745,64hbc787,61,800,43,841,43hbc882,43,891,35,932,32hbc973,29,1009,29,1050,21hbc1091,13,1100,21,1141,16hbc1182,11,1202,12,1243,11hbc1284,10,1304,13,1345,11hbc1386,9,1396,2,1414,0hbe">
                  <v:path arrowok="t"/>
                  <v:fill on="f" focussize="0,0"/>
                  <v:stroke weight="2pt" color="#FFC000"/>
                  <v:imagedata o:title=""/>
                  <o:lock v:ext="edit" aspectratio="f"/>
                </v:shape>
              </w:pict>
            </w:r>
            <w:r>
              <w:rPr>
                <w:sz w:val="48"/>
                <w:szCs w:val="48"/>
              </w:rPr>
              <w:pict>
                <v:shape id="_x0000_s2058" o:spid="_x0000_s2058" style="position:absolute;left:0pt;margin-left:171.65pt;margin-top:33.75pt;height:68.6pt;width:45pt;z-index:251660288;mso-width-relative:page;mso-height-relative:page;" filled="f" stroked="t" coordsize="900,1372" path="m0,1372hac3,1354,14,1306,27,1265hbc40,1224,51,1209,65,1168hbc79,1127,74,1118,92,1077hbc110,1036,115,1000,134,959hbc153,918,165,909,188,868hbc211,827,222,805,258,766hbc294,727,313,709,354,675hbc395,641,409,622,450,590hbc491,558,522,549,563,515hbc604,481,638,468,675,429hbc712,390,723,373,756,332hbc789,291,807,261,831,220hbc855,179,894,18,900,0hbe">
                  <v:path arrowok="t"/>
                  <v:fill on="f" focussize="0,0"/>
                  <v:stroke weight="2pt" color="#FFC000"/>
                  <v:imagedata o:title=""/>
                  <o:lock v:ext="edit" aspectratio="f"/>
                </v:shape>
              </w:pict>
            </w:r>
            <w:r>
              <w:rPr>
                <w:rFonts w:hint="eastAsia" w:ascii="Times New Roman" w:hAnsi="Times New Roman" w:cs="Times New Roman" w:eastAsiaTheme="minorEastAsia"/>
                <w:color w:val="auto"/>
                <w:highlight w:val="none"/>
                <w:lang w:eastAsia="zh-CN"/>
              </w:rPr>
              <w:drawing>
                <wp:inline distT="0" distB="0" distL="114300" distR="114300">
                  <wp:extent cx="5173980" cy="4189730"/>
                  <wp:effectExtent l="0" t="0" r="7620" b="1270"/>
                  <wp:docPr id="8" name="图片 8" descr="170694340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6943405905"/>
                          <pic:cNvPicPr>
                            <a:picLocks noChangeAspect="1"/>
                          </pic:cNvPicPr>
                        </pic:nvPicPr>
                        <pic:blipFill>
                          <a:blip r:embed="rId12"/>
                          <a:stretch>
                            <a:fillRect/>
                          </a:stretch>
                        </pic:blipFill>
                        <pic:spPr>
                          <a:xfrm>
                            <a:off x="0" y="0"/>
                            <a:ext cx="5173980" cy="4189730"/>
                          </a:xfrm>
                          <a:prstGeom prst="rect">
                            <a:avLst/>
                          </a:prstGeom>
                        </pic:spPr>
                      </pic:pic>
                    </a:graphicData>
                  </a:graphic>
                </wp:inline>
              </w:drawing>
            </w:r>
          </w:p>
          <w:p>
            <w:pPr>
              <w:pStyle w:val="2"/>
              <w:jc w:val="center"/>
              <w:rPr>
                <w:rFonts w:hint="default" w:ascii="Times New Roman" w:hAnsi="Times New Roman" w:cs="Times New Roman"/>
                <w:b/>
                <w:bCs/>
                <w:color w:val="auto"/>
                <w:highlight w:val="none"/>
                <w:lang w:val="en-US"/>
              </w:rPr>
            </w:pPr>
            <w:r>
              <w:rPr>
                <w:rFonts w:hint="default" w:ascii="Times New Roman" w:hAnsi="Times New Roman" w:cs="Times New Roman"/>
                <w:b/>
                <w:bCs/>
                <w:color w:val="auto"/>
                <w:sz w:val="24"/>
                <w:highlight w:val="none"/>
                <w:lang w:eastAsia="zh-CN"/>
              </w:rPr>
              <w:t>图</w:t>
            </w:r>
            <w:r>
              <w:rPr>
                <w:rFonts w:hint="default" w:ascii="Times New Roman" w:hAnsi="Times New Roman" w:cs="Times New Roman"/>
                <w:b/>
                <w:bCs/>
                <w:color w:val="auto"/>
                <w:sz w:val="24"/>
                <w:highlight w:val="none"/>
                <w:lang w:val="en-US" w:eastAsia="zh-CN"/>
              </w:rPr>
              <w:t>4-1 项目地理位置图</w:t>
            </w: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4" w:hRule="atLeast"/>
        </w:trPr>
        <w:tc>
          <w:tcPr>
            <w:tcW w:w="5000" w:type="pct"/>
            <w:gridSpan w:val="2"/>
          </w:tcPr>
          <w:p>
            <w:pPr>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主要工程内容及规模：</w:t>
            </w:r>
          </w:p>
          <w:p>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highlight w:val="none"/>
              </w:rPr>
            </w:pPr>
            <w:r>
              <w:rPr>
                <w:rFonts w:hint="default" w:ascii="Times New Roman" w:hAnsi="Times New Roman" w:cs="Times New Roman"/>
                <w:b/>
                <w:bCs/>
                <w:color w:val="auto"/>
                <w:highlight w:val="none"/>
                <w:lang w:eastAsia="zh-CN"/>
              </w:rPr>
              <w:t>环评建设内容：</w:t>
            </w:r>
            <w:r>
              <w:rPr>
                <w:rFonts w:hint="default" w:ascii="Times New Roman" w:hAnsi="Times New Roman" w:cs="Times New Roman"/>
                <w:color w:val="auto"/>
                <w:highlight w:val="none"/>
              </w:rPr>
              <w:t>本项目起自谭家岭西路与余梁公路交叉口</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终点在东连接线与梁周线交叉口</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全线按具有集散功能的一级公路设计标准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设计速度为80km/h</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三来三去六车道中间设分隔带。</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推荐路线总里程8.192km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其中大桥1座</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中、小桥6座</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洞35道</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隧道1座</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下穿铁路立交1处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路基填方37.7万m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路基挖方31.3万m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软基处理0.68km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沥青砼路面21.7万㎡</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水泥砼路面0.7万㎡。</w:t>
            </w:r>
          </w:p>
          <w:p>
            <w:pPr>
              <w:pStyle w:val="20"/>
              <w:keepNext w:val="0"/>
              <w:keepLines w:val="0"/>
              <w:pageBreakBefore w:val="0"/>
              <w:widowControl w:val="0"/>
              <w:kinsoku/>
              <w:wordWrap/>
              <w:overflowPunct/>
              <w:topLinePunct w:val="0"/>
              <w:autoSpaceDE/>
              <w:autoSpaceDN/>
              <w:bidi w:val="0"/>
              <w:adjustRightInd/>
              <w:snapToGrid/>
              <w:spacing w:before="313" w:beforeLines="100" w:afterLines="0" w:line="360" w:lineRule="auto"/>
              <w:ind w:firstLine="482"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cs="Times New Roman"/>
                <w:color w:val="auto"/>
                <w:sz w:val="24"/>
                <w:highlight w:val="none"/>
                <w:lang w:eastAsia="zh-CN"/>
              </w:rPr>
              <w:t>实际建设内容：</w:t>
            </w:r>
            <w:r>
              <w:rPr>
                <w:rFonts w:hint="default" w:ascii="Times New Roman" w:hAnsi="Times New Roman" w:eastAsia="宋体" w:cs="Times New Roman"/>
                <w:b w:val="0"/>
                <w:color w:val="auto"/>
                <w:kern w:val="2"/>
                <w:sz w:val="24"/>
                <w:szCs w:val="24"/>
                <w:highlight w:val="none"/>
                <w:lang w:val="en-US" w:eastAsia="zh-CN" w:bidi="ar-SA"/>
              </w:rPr>
              <w:t>根据实际调查</w:t>
            </w:r>
            <w:r>
              <w:rPr>
                <w:rFonts w:hint="eastAsia" w:ascii="Times New Roman" w:hAnsi="Times New Roman" w:eastAsia="宋体" w:cs="Times New Roman"/>
                <w:b w:val="0"/>
                <w:color w:val="auto"/>
                <w:kern w:val="2"/>
                <w:sz w:val="24"/>
                <w:szCs w:val="24"/>
                <w:highlight w:val="none"/>
                <w:lang w:val="en-US" w:eastAsia="zh-CN" w:bidi="ar-SA"/>
              </w:rPr>
              <w:t>，余姚市余梁公路北延工程I、II标段工程</w:t>
            </w:r>
            <w:r>
              <w:rPr>
                <w:rFonts w:hint="default" w:ascii="Times New Roman" w:hAnsi="Times New Roman" w:eastAsia="宋体" w:cs="Times New Roman"/>
                <w:b w:val="0"/>
                <w:color w:val="auto"/>
                <w:kern w:val="2"/>
                <w:sz w:val="24"/>
                <w:szCs w:val="24"/>
                <w:highlight w:val="none"/>
                <w:lang w:val="en-US" w:eastAsia="zh-CN" w:bidi="ar-SA"/>
              </w:rPr>
              <w:t>建设情况与环评阶段建设内容基本一致</w:t>
            </w:r>
            <w:r>
              <w:rPr>
                <w:rFonts w:hint="eastAsia" w:ascii="Times New Roman" w:hAnsi="Times New Roman" w:eastAsia="宋体" w:cs="Times New Roman"/>
                <w:b w:val="0"/>
                <w:color w:val="auto"/>
                <w:kern w:val="2"/>
                <w:sz w:val="24"/>
                <w:szCs w:val="24"/>
                <w:highlight w:val="none"/>
                <w:lang w:val="en-US" w:eastAsia="zh-CN" w:bidi="ar-SA"/>
              </w:rPr>
              <w:t>，I标段为K0+000-K3+100段、Ⅱ标段为K3+100-K3+810段，</w:t>
            </w:r>
            <w:r>
              <w:rPr>
                <w:rFonts w:hint="default" w:ascii="Times New Roman" w:hAnsi="Times New Roman" w:eastAsia="宋体" w:cs="Times New Roman"/>
                <w:b w:val="0"/>
                <w:color w:val="auto"/>
                <w:kern w:val="2"/>
                <w:sz w:val="24"/>
                <w:szCs w:val="24"/>
                <w:highlight w:val="none"/>
                <w:lang w:val="en-US" w:eastAsia="zh-CN" w:bidi="ar-SA"/>
              </w:rPr>
              <w:t>道路长度</w:t>
            </w:r>
            <w:r>
              <w:rPr>
                <w:rFonts w:hint="eastAsia" w:ascii="Times New Roman" w:hAnsi="Times New Roman" w:eastAsia="宋体" w:cs="Times New Roman"/>
                <w:b w:val="0"/>
                <w:color w:val="auto"/>
                <w:kern w:val="2"/>
                <w:sz w:val="24"/>
                <w:szCs w:val="24"/>
                <w:highlight w:val="none"/>
                <w:lang w:val="en-US" w:eastAsia="zh-CN" w:bidi="ar-SA"/>
              </w:rPr>
              <w:t>3.81km，其中</w:t>
            </w:r>
            <w:r>
              <w:rPr>
                <w:rFonts w:hint="default" w:ascii="Times New Roman" w:hAnsi="Times New Roman" w:eastAsia="宋体" w:cs="Times New Roman"/>
                <w:b w:val="0"/>
                <w:color w:val="auto"/>
                <w:kern w:val="2"/>
                <w:sz w:val="24"/>
                <w:szCs w:val="24"/>
                <w:highlight w:val="none"/>
                <w:lang w:val="en-US" w:eastAsia="zh-CN" w:bidi="ar-SA"/>
              </w:rPr>
              <w:t>大桥1座</w:t>
            </w:r>
            <w:r>
              <w:rPr>
                <w:rFonts w:hint="eastAsia" w:ascii="Times New Roman" w:hAnsi="Times New Roman" w:eastAsia="宋体" w:cs="Times New Roman"/>
                <w:b w:val="0"/>
                <w:color w:val="auto"/>
                <w:kern w:val="2"/>
                <w:sz w:val="24"/>
                <w:szCs w:val="24"/>
                <w:highlight w:val="none"/>
                <w:lang w:val="en-US" w:eastAsia="zh-CN" w:bidi="ar-SA"/>
              </w:rPr>
              <w:t>，中小桥2座，</w:t>
            </w:r>
            <w:r>
              <w:rPr>
                <w:rFonts w:hint="default" w:ascii="Times New Roman" w:hAnsi="Times New Roman" w:eastAsia="宋体" w:cs="Times New Roman"/>
                <w:b w:val="0"/>
                <w:color w:val="auto"/>
                <w:kern w:val="2"/>
                <w:sz w:val="24"/>
                <w:szCs w:val="24"/>
                <w:highlight w:val="none"/>
                <w:lang w:val="en-US" w:eastAsia="zh-CN" w:bidi="ar-SA"/>
              </w:rPr>
              <w:t>下穿铁路立交1处</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道路宽度、道路等级等均无变化</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无重大变动。</w:t>
            </w:r>
          </w:p>
          <w:tbl>
            <w:tblPr>
              <w:tblStyle w:val="16"/>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pStyle w:val="35"/>
                    <w:spacing w:before="42"/>
                    <w:jc w:val="center"/>
                    <w:rPr>
                      <w:rFonts w:hint="default" w:ascii="Times New Roman" w:hAnsi="Times New Roman" w:eastAsia="宋体" w:cs="Times New Roman"/>
                      <w:sz w:val="21"/>
                      <w:szCs w:val="21"/>
                      <w:lang w:val="en-US" w:eastAsia="zh-CN"/>
                    </w:rPr>
                  </w:pPr>
                  <w:r>
                    <w:drawing>
                      <wp:inline distT="0" distB="0" distL="114300" distR="114300">
                        <wp:extent cx="2738755" cy="1593215"/>
                        <wp:effectExtent l="0" t="0" r="4445"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2738755" cy="1593215"/>
                                </a:xfrm>
                                <a:prstGeom prst="rect">
                                  <a:avLst/>
                                </a:prstGeom>
                                <a:noFill/>
                                <a:ln>
                                  <a:noFill/>
                                </a:ln>
                              </pic:spPr>
                            </pic:pic>
                          </a:graphicData>
                        </a:graphic>
                      </wp:inline>
                    </w:drawing>
                  </w:r>
                </w:p>
              </w:tc>
              <w:tc>
                <w:tcPr>
                  <w:tcW w:w="4535" w:type="dxa"/>
                </w:tcPr>
                <w:p>
                  <w:pPr>
                    <w:pStyle w:val="35"/>
                    <w:spacing w:before="42"/>
                    <w:jc w:val="center"/>
                    <w:rPr>
                      <w:rFonts w:hint="default" w:ascii="Times New Roman" w:hAnsi="Times New Roman" w:eastAsia="宋体" w:cs="Times New Roman"/>
                      <w:sz w:val="21"/>
                      <w:szCs w:val="21"/>
                      <w:lang w:val="en-US" w:eastAsia="zh-CN"/>
                    </w:rPr>
                  </w:pPr>
                  <w:r>
                    <w:drawing>
                      <wp:inline distT="0" distB="0" distL="114300" distR="114300">
                        <wp:extent cx="2739390" cy="1746250"/>
                        <wp:effectExtent l="0" t="0" r="3810" b="63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2739390" cy="1746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罗家渡大桥</w:t>
                  </w:r>
                </w:p>
              </w:tc>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下穿铁路立交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pStyle w:val="35"/>
                    <w:spacing w:before="42"/>
                    <w:jc w:val="center"/>
                    <w:rPr>
                      <w:rFonts w:hint="default" w:ascii="Times New Roman" w:hAnsi="Times New Roman" w:eastAsia="宋体" w:cs="Times New Roman"/>
                      <w:sz w:val="21"/>
                      <w:szCs w:val="21"/>
                      <w:lang w:val="en-US" w:eastAsia="zh-CN"/>
                    </w:rPr>
                  </w:pPr>
                  <w:r>
                    <w:drawing>
                      <wp:inline distT="0" distB="0" distL="114300" distR="114300">
                        <wp:extent cx="2736850" cy="1574800"/>
                        <wp:effectExtent l="0" t="0" r="635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2736850" cy="1574800"/>
                                </a:xfrm>
                                <a:prstGeom prst="rect">
                                  <a:avLst/>
                                </a:prstGeom>
                                <a:noFill/>
                                <a:ln>
                                  <a:noFill/>
                                </a:ln>
                              </pic:spPr>
                            </pic:pic>
                          </a:graphicData>
                        </a:graphic>
                      </wp:inline>
                    </w:drawing>
                  </w:r>
                </w:p>
              </w:tc>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drawing>
                      <wp:inline distT="0" distB="0" distL="114300" distR="114300">
                        <wp:extent cx="2736215" cy="1853565"/>
                        <wp:effectExtent l="0" t="0" r="698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2736215" cy="1853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I、II标段起点</w:t>
                  </w:r>
                </w:p>
              </w:tc>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I、II标段终点</w:t>
                  </w:r>
                </w:p>
              </w:tc>
            </w:tr>
          </w:tbl>
          <w:p>
            <w:pPr>
              <w:pStyle w:val="20"/>
              <w:keepNext w:val="0"/>
              <w:keepLines w:val="0"/>
              <w:pageBreakBefore w:val="0"/>
              <w:widowControl w:val="0"/>
              <w:kinsoku/>
              <w:wordWrap/>
              <w:overflowPunct/>
              <w:topLinePunct w:val="0"/>
              <w:autoSpaceDE/>
              <w:autoSpaceDN/>
              <w:bidi w:val="0"/>
              <w:adjustRightInd/>
              <w:snapToGrid/>
              <w:spacing w:before="313" w:beforeLines="100" w:afterLines="0"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0" w:hRule="atLeast"/>
        </w:trPr>
        <w:tc>
          <w:tcPr>
            <w:tcW w:w="5000" w:type="pct"/>
            <w:gridSpan w:val="2"/>
          </w:tcPr>
          <w:p>
            <w:pPr>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实际工程量及工程建设变化情况</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说明工程变化原因</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val="en-US" w:eastAsia="zh-CN"/>
              </w:rPr>
              <w:t>平面线形</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道路等级</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全线采用交通部颁《公路工程技术标准》</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JTGB01-2003</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中具有集散功能的一级公路标准。</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设计行车速度</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80km/h。</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主要线形设计标准</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根据《公路工程技术标准》</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JTG B01-2003</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，主要技术标准见表</w:t>
            </w:r>
            <w:r>
              <w:rPr>
                <w:rFonts w:hint="eastAsia" w:ascii="Times New Roman" w:hAnsi="Times New Roman" w:cs="Times New Roman"/>
                <w:b w:val="0"/>
                <w:bCs w:val="0"/>
                <w:color w:val="auto"/>
                <w:highlight w:val="none"/>
                <w:lang w:val="en-US" w:eastAsia="zh-CN"/>
              </w:rPr>
              <w:t>4-</w:t>
            </w:r>
            <w:r>
              <w:rPr>
                <w:rFonts w:hint="default" w:ascii="Times New Roman" w:hAnsi="Times New Roman" w:cs="Times New Roman"/>
                <w:b w:val="0"/>
                <w:bCs w:val="0"/>
                <w:color w:val="auto"/>
                <w:highlight w:val="none"/>
                <w:lang w:val="en-US" w:eastAsia="zh-CN"/>
              </w:rPr>
              <w:t>1。</w:t>
            </w:r>
          </w:p>
          <w:p>
            <w:pPr>
              <w:pStyle w:val="34"/>
            </w:pPr>
            <w:r>
              <w:rPr>
                <w:rFonts w:hint="eastAsia" w:ascii="Times New Roman" w:hAnsi="Times New Roman" w:cs="Times New Roman"/>
                <w:color w:val="auto"/>
                <w:highlight w:val="none"/>
                <w:lang w:val="en-US" w:eastAsia="zh-CN"/>
              </w:rPr>
              <w:t>表4-1</w:t>
            </w:r>
            <w:r>
              <w:rPr>
                <w:rFonts w:hint="eastAsia" w:ascii="Times New Roman" w:hAnsi="Times New Roman" w:cs="Times New Roman"/>
                <w:color w:val="0000FF"/>
                <w:highlight w:val="none"/>
                <w:lang w:val="en-US" w:eastAsia="zh-CN"/>
              </w:rPr>
              <w:t xml:space="preserve"> </w:t>
            </w:r>
            <w:r>
              <w:t>建设项目组成表</w:t>
            </w:r>
          </w:p>
          <w:tbl>
            <w:tblPr>
              <w:tblStyle w:val="15"/>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98"/>
              <w:gridCol w:w="3099"/>
              <w:gridCol w:w="1115"/>
              <w:gridCol w:w="1507"/>
              <w:gridCol w:w="1625"/>
              <w:gridCol w:w="8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序号</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技术指标</w:t>
                  </w:r>
                </w:p>
              </w:tc>
              <w:tc>
                <w:tcPr>
                  <w:tcW w:w="614"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单位</w:t>
                  </w:r>
                </w:p>
              </w:tc>
              <w:tc>
                <w:tcPr>
                  <w:tcW w:w="830"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环评</w:t>
                  </w:r>
                </w:p>
              </w:tc>
              <w:tc>
                <w:tcPr>
                  <w:tcW w:w="8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实际</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设计速度</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Km/h</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2</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停车视距</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110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3</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不设超高的圆曲线最小半径</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4</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圆曲线最小半径一般值</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w:t>
                  </w:r>
                </w:p>
              </w:tc>
              <w:tc>
                <w:tcPr>
                  <w:tcW w:w="895" w:type="pct"/>
                  <w:tcBorders>
                    <w:tl2br w:val="nil"/>
                    <w:tr2bl w:val="nil"/>
                  </w:tcBorders>
                  <w:vAlign w:val="center"/>
                </w:tcPr>
                <w:p>
                  <w:pPr>
                    <w:pStyle w:val="35"/>
                    <w:spacing w:before="42"/>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9"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5</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圆曲线最小半径极限值</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c>
                <w:tcPr>
                  <w:tcW w:w="895" w:type="pct"/>
                  <w:tcBorders>
                    <w:tl2br w:val="nil"/>
                    <w:tr2bl w:val="nil"/>
                  </w:tcBorders>
                  <w:vAlign w:val="center"/>
                </w:tcPr>
                <w:p>
                  <w:pPr>
                    <w:pStyle w:val="35"/>
                    <w:spacing w:before="42"/>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6</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最大纵坡</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7</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最小坡长</w:t>
                  </w:r>
                </w:p>
              </w:tc>
              <w:tc>
                <w:tcPr>
                  <w:tcW w:w="614" w:type="pct"/>
                  <w:tcBorders>
                    <w:tl2br w:val="nil"/>
                    <w:tr2bl w:val="nil"/>
                  </w:tcBorders>
                  <w:vAlign w:val="center"/>
                </w:tcPr>
                <w:p>
                  <w:pPr>
                    <w:pStyle w:val="35"/>
                    <w:spacing w:before="42"/>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8</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凸型竖曲线最小半径一般值</w:t>
                  </w:r>
                </w:p>
              </w:tc>
              <w:tc>
                <w:tcPr>
                  <w:tcW w:w="61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4500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9</w:t>
                  </w:r>
                </w:p>
              </w:tc>
              <w:tc>
                <w:tcPr>
                  <w:tcW w:w="1707"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凸型竖曲线最小半径极限值</w:t>
                  </w:r>
                </w:p>
              </w:tc>
              <w:tc>
                <w:tcPr>
                  <w:tcW w:w="61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3000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凹型竖曲线最小半径一般值</w:t>
                  </w:r>
                </w:p>
              </w:tc>
              <w:tc>
                <w:tcPr>
                  <w:tcW w:w="61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3000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495"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1707" w:type="pct"/>
                  <w:tcBorders>
                    <w:tl2br w:val="nil"/>
                    <w:tr2bl w:val="nil"/>
                  </w:tcBorders>
                  <w:vAlign w:val="center"/>
                </w:tcPr>
                <w:p>
                  <w:pPr>
                    <w:pStyle w:val="35"/>
                    <w:spacing w:before="42"/>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凹型竖曲线最小半径极限值</w:t>
                  </w:r>
                </w:p>
              </w:tc>
              <w:tc>
                <w:tcPr>
                  <w:tcW w:w="614" w:type="pct"/>
                  <w:tcBorders>
                    <w:tl2br w:val="nil"/>
                    <w:tr2bl w:val="nil"/>
                  </w:tcBorders>
                  <w:vAlign w:val="center"/>
                </w:tcPr>
                <w:p>
                  <w:pPr>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竖曲线最小长度</w:t>
                  </w:r>
                </w:p>
              </w:tc>
              <w:tc>
                <w:tcPr>
                  <w:tcW w:w="61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495"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标准横坡</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bl>
          <w:p>
            <w:pPr>
              <w:pStyle w:val="19"/>
              <w:ind w:firstLine="48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2、路基、路面、桥涵、隧道</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路基宽度：全线一般路段路基宽32米，用地范围42米，路幅布置如下：</w:t>
            </w:r>
          </w:p>
          <w:p>
            <w:pPr>
              <w:pStyle w:val="19"/>
              <w:ind w:left="0" w:leftChars="0"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中央分隔带        2.00米；</w:t>
            </w:r>
          </w:p>
          <w:p>
            <w:pPr>
              <w:pStyle w:val="19"/>
              <w:ind w:left="0" w:leftChars="0"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行车道        2×11.75米；</w:t>
            </w:r>
          </w:p>
          <w:p>
            <w:pPr>
              <w:pStyle w:val="19"/>
              <w:ind w:left="0" w:leftChars="0"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硬路肩         2×2.50米；</w:t>
            </w:r>
          </w:p>
          <w:p>
            <w:pPr>
              <w:pStyle w:val="19"/>
              <w:ind w:left="0" w:leftChars="0"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土路肩         2×0.75米。</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设计洪水频率：大、中、小、桥及路基1/100。</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软土地基处理：路线所经地区广泛分布有海相软弱粘性土，局部分布冲湖相软土，岩性主要为淤泥质粘土、淤泥，厚度一般为15m左右。表部覆盖软塑状粘土、亚粘土，厚度一般为1~2m。筑路时须作处理，形成复合地基。采用粉喷、超载预压、土工格栅等多种方法结合处理。</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路面：以BZZ-100KN为标准，路面结构为沥青混凝土AC-13（4cm）+AC-16（6cm）+AC-25（8cm）+水泥稳定碎石（水泥含量5%）（35cm）+水泥稳定碎石（水泥含量3.5%）（20cm）。</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桥涵设计荷载：公路I级。</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姚江大桥主桥通航标准：I级航道，净高7m，下口净宽55m，上口净宽45m，侧高4m，最高通航水位为1.32m（黄海高程），最低通航水位为0.32m（黄海高程）。</w:t>
            </w:r>
          </w:p>
          <w:p>
            <w:pPr>
              <w:pStyle w:val="19"/>
              <w:ind w:firstLine="48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3、道路交叉</w:t>
            </w:r>
          </w:p>
          <w:p>
            <w:pPr>
              <w:pStyle w:val="19"/>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道路交叉：本项目与萧甬铁路交叉采用下穿形式，净空5.0m，与其他道路相交均采用平面交叉。</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en-US" w:eastAsia="zh-CN"/>
              </w:rPr>
              <w:t>交通工程和沿线设施</w:t>
            </w:r>
          </w:p>
          <w:p>
            <w:pPr>
              <w:pStyle w:val="19"/>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交通安全和管理设施</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交通工程及沿线设施等级为B级，全线设置比较完善的交通安全设施和管理设施。安全设施包括中央分隔带、防撞护栏、视线诱导标志、道口标柱、防眩设计和桥上防护网等，交通管理设施包括交通标志、标线、车道隔离设施等。</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①防撞护栏</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防撞护栏设在桥梁的两侧或土路肩等处，其主要功能在于防止失控车辆驶出桥外或冲下路堤，防撞护栏使发生冲撞后的车辆尽可能恢复到正常的行驶方向上来，而且还可保证冲撞护栏车辆中的乘客的安全。其次还具有诱导司机视线的功能。</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②交通标志和标线</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为了保证道路交通的安全顺畅运行，沿线设置标志和标线，这些标志分为视线诱导标志、指路标志、警告标志、限制和指示标志，以及其他标志。</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视线诱导标志设在路旁及中央分隔带中，为在夜间或恶劣天气时诱导驾驶员的视线，预先告知前方的公路线形等，以保证车辆的行驶安全。在路旁及中央分隔带以50m间距设置视线诱导标志。</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引导标志类型有</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公路出入口引导、方向及距离引导。</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其次还有警告标志、限制和其他标志及标线。各种标志和标线应按夜间反光进行设计，其名称、设置位置、形状、尺寸和颜色等按照GB5768《道路交通标志和标线》的标准执行。</w:t>
            </w:r>
          </w:p>
          <w:p>
            <w:pPr>
              <w:pStyle w:val="19"/>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路线照明</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除隧道、公路与地方道路平交口附近等处需设置特殊的照明设施外，全线均设置照明设置位置在中央分隔带。</w:t>
            </w:r>
          </w:p>
          <w:p>
            <w:pPr>
              <w:pStyle w:val="19"/>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环保绿化设计</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中央分隔带中种植灌木与乔木相结合。</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lang w:val="en-US" w:eastAsia="zh-CN"/>
              </w:rPr>
              <w:t>、主要材料</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本项目处于宁绍平原上，沿线地形平坦开阔，沿线附近缺乏适合于筑路的土方填筑材料，本项目路基和隧道挖方均用于路基的填筑。同时四明山脉内，有分布较多的宕渣料场能满足路基填筑材料的需要数量。</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val="en-US" w:eastAsia="zh-CN"/>
              </w:rPr>
              <w:t>、占地、拆迁</w:t>
            </w:r>
          </w:p>
          <w:p>
            <w:pPr>
              <w:pStyle w:val="1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本工程征地宽度一次性按42m到位</w:t>
            </w:r>
            <w:r>
              <w:rPr>
                <w:rFonts w:hint="eastAsia" w:ascii="Times New Roman" w:hAnsi="Times New Roman" w:eastAsia="宋体" w:cs="Times New Roman"/>
                <w:color w:val="auto"/>
                <w:highlight w:val="none"/>
                <w:lang w:val="en-US" w:eastAsia="zh-CN"/>
              </w:rPr>
              <w:t>。</w:t>
            </w:r>
          </w:p>
          <w:p>
            <w:pPr>
              <w:pStyle w:val="19"/>
              <w:ind w:firstLine="48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7、交通量</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根据项目可行性报告，本工程的交通量结果见表</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2。</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（1）环评预测交通量</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根据项目环境影响报告表</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本项目交通量预测结果如下表：</w:t>
            </w:r>
          </w:p>
          <w:p>
            <w:pPr>
              <w:pStyle w:val="19"/>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28282B"/>
                <w:sz w:val="24"/>
                <w:szCs w:val="24"/>
                <w:lang w:val="en-US" w:eastAsia="zh-CN"/>
              </w:rPr>
              <w:t>表4-</w:t>
            </w:r>
            <w:r>
              <w:rPr>
                <w:rFonts w:hint="eastAsia" w:ascii="Times New Roman" w:hAnsi="Times New Roman" w:eastAsia="宋体" w:cs="Times New Roman"/>
                <w:b/>
                <w:bCs/>
                <w:color w:val="28282B"/>
                <w:sz w:val="24"/>
                <w:szCs w:val="24"/>
                <w:lang w:val="en-US" w:eastAsia="zh-CN"/>
              </w:rPr>
              <w:t>2</w:t>
            </w:r>
            <w:r>
              <w:rPr>
                <w:rFonts w:hint="default" w:ascii="Times New Roman" w:hAnsi="Times New Roman" w:eastAsia="宋体" w:cs="Times New Roman"/>
                <w:b/>
                <w:bCs/>
                <w:color w:val="28282B"/>
                <w:sz w:val="24"/>
                <w:szCs w:val="24"/>
                <w:lang w:val="en-US" w:eastAsia="zh-CN"/>
              </w:rPr>
              <w:t xml:space="preserve"> </w:t>
            </w:r>
            <w:r>
              <w:rPr>
                <w:rFonts w:ascii="Times New Roman" w:hAnsi="Times New Roman" w:eastAsia="宋体" w:cs="Times New Roman"/>
                <w:b/>
                <w:bCs/>
                <w:color w:val="28282B"/>
                <w:sz w:val="24"/>
                <w:szCs w:val="24"/>
                <w:lang w:eastAsia="zh-CN"/>
              </w:rPr>
              <w:t>项目交通量预测结果一览表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7"/>
              <w:gridCol w:w="1234"/>
              <w:gridCol w:w="1234"/>
              <w:gridCol w:w="1234"/>
              <w:gridCol w:w="1234"/>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年份</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2012</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2015</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2020</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2025</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交通量</w:t>
                  </w:r>
                  <w:r>
                    <w:rPr>
                      <w:rFonts w:hint="eastAsia" w:ascii="Times New Roman" w:hAnsi="Times New Roman" w:cs="Times New Roman"/>
                      <w:b w:val="0"/>
                      <w:bCs w:val="0"/>
                      <w:color w:val="auto"/>
                      <w:sz w:val="21"/>
                      <w:szCs w:val="21"/>
                      <w:highlight w:val="none"/>
                      <w:vertAlign w:val="baseline"/>
                      <w:lang w:val="en-US" w:eastAsia="zh-CN"/>
                    </w:rPr>
                    <w:t>（pcu/d）</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23449</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26606</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31906</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37348</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43822</w:t>
                  </w:r>
                </w:p>
              </w:tc>
            </w:tr>
          </w:tbl>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为了使交通量具有可比性，本验收报告采用内插法计算2023年交通量</w:t>
            </w:r>
            <w:r>
              <w:rPr>
                <w:rFonts w:hint="eastAsia" w:ascii="Times New Roman" w:hAnsi="Times New Roman" w:cs="Times New Roman"/>
                <w:b w:val="0"/>
                <w:bCs w:val="0"/>
                <w:color w:val="auto"/>
                <w:highlight w:val="none"/>
                <w:lang w:val="en-US" w:eastAsia="zh-CN"/>
              </w:rPr>
              <w:t>，2024年交通量为36260</w:t>
            </w:r>
            <w:r>
              <w:rPr>
                <w:rFonts w:hint="eastAsia" w:ascii="Times New Roman" w:hAnsi="Times New Roman" w:cs="Times New Roman"/>
                <w:b w:val="0"/>
                <w:bCs w:val="0"/>
                <w:color w:val="auto"/>
                <w:sz w:val="21"/>
                <w:szCs w:val="21"/>
                <w:highlight w:val="none"/>
                <w:vertAlign w:val="baseline"/>
                <w:lang w:val="en-US" w:eastAsia="zh-CN"/>
              </w:rPr>
              <w:t>pcu/d</w:t>
            </w:r>
            <w:r>
              <w:rPr>
                <w:rFonts w:hint="default" w:ascii="Times New Roman" w:hAnsi="Times New Roman" w:cs="Times New Roman"/>
                <w:b w:val="0"/>
                <w:bCs w:val="0"/>
                <w:color w:val="auto"/>
                <w:highlight w:val="none"/>
                <w:lang w:val="en-US" w:eastAsia="zh-CN"/>
              </w:rPr>
              <w:t>。</w:t>
            </w:r>
          </w:p>
          <w:p>
            <w:pPr>
              <w:pStyle w:val="19"/>
              <w:numPr>
                <w:ilvl w:val="0"/>
                <w:numId w:val="4"/>
              </w:numPr>
              <w:ind w:firstLine="48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实际交通量</w:t>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根据监测单位提供的现场实测车流量统计数据</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新桥枢纽至大下线公路工程</w:t>
            </w:r>
            <w:r>
              <w:rPr>
                <w:rFonts w:hint="default" w:ascii="Times New Roman" w:hAnsi="Times New Roman" w:eastAsia="宋体" w:cs="Times New Roman"/>
                <w:b w:val="0"/>
                <w:bCs w:val="0"/>
                <w:color w:val="auto"/>
                <w:sz w:val="24"/>
                <w:szCs w:val="24"/>
                <w:highlight w:val="none"/>
                <w:lang w:eastAsia="zh-CN"/>
              </w:rPr>
              <w:t>现阶段平均大中小型车流量如下：</w:t>
            </w:r>
          </w:p>
          <w:p>
            <w:pPr>
              <w:spacing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 xml:space="preserve">4-3 </w:t>
            </w:r>
            <w:r>
              <w:rPr>
                <w:rFonts w:hint="default" w:ascii="Times New Roman" w:hAnsi="Times New Roman" w:eastAsia="宋体" w:cs="Times New Roman"/>
                <w:b/>
                <w:bCs/>
                <w:color w:val="auto"/>
                <w:sz w:val="24"/>
                <w:szCs w:val="24"/>
                <w:highlight w:val="none"/>
              </w:rPr>
              <w:t>车流量一览表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321"/>
              <w:gridCol w:w="1782"/>
              <w:gridCol w:w="1593"/>
              <w:gridCol w:w="1593"/>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检测点位置</w:t>
                  </w:r>
                </w:p>
              </w:tc>
              <w:tc>
                <w:tcPr>
                  <w:tcW w:w="72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检测日期</w:t>
                  </w: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检测时间段</w:t>
                  </w:r>
                </w:p>
              </w:tc>
              <w:tc>
                <w:tcPr>
                  <w:tcW w:w="87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大</w:t>
                  </w:r>
                  <w:r>
                    <w:rPr>
                      <w:rFonts w:hint="default" w:ascii="Times New Roman" w:hAnsi="Times New Roman" w:eastAsia="宋体" w:cs="Times New Roman"/>
                      <w:b w:val="0"/>
                      <w:bCs/>
                      <w:sz w:val="21"/>
                      <w:szCs w:val="21"/>
                      <w:vertAlign w:val="baseline"/>
                      <w:lang w:val="en-US" w:eastAsia="zh-CN"/>
                    </w:rPr>
                    <w:t>型车（辆）</w:t>
                  </w:r>
                </w:p>
              </w:tc>
              <w:tc>
                <w:tcPr>
                  <w:tcW w:w="87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中型车（辆）</w:t>
                  </w:r>
                </w:p>
              </w:tc>
              <w:tc>
                <w:tcPr>
                  <w:tcW w:w="880"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rPr>
                  </w:pPr>
                  <w:r>
                    <w:rPr>
                      <w:rFonts w:hint="eastAsia" w:ascii="Times New Roman" w:hAnsi="Times New Roman" w:eastAsia="宋体" w:cs="Times New Roman"/>
                      <w:b w:val="0"/>
                      <w:bCs/>
                      <w:sz w:val="21"/>
                      <w:szCs w:val="21"/>
                      <w:vertAlign w:val="baseline"/>
                      <w:lang w:val="en-US" w:eastAsia="zh-CN"/>
                    </w:rPr>
                    <w:t>小</w:t>
                  </w:r>
                  <w:r>
                    <w:rPr>
                      <w:rFonts w:hint="default" w:ascii="Times New Roman" w:hAnsi="Times New Roman" w:eastAsia="宋体" w:cs="Times New Roman"/>
                      <w:b w:val="0"/>
                      <w:bCs/>
                      <w:sz w:val="21"/>
                      <w:szCs w:val="21"/>
                      <w:vertAlign w:val="baseline"/>
                      <w:lang w:val="en-US" w:eastAsia="zh-CN"/>
                    </w:rPr>
                    <w:t>型车（辆）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22</w:t>
                  </w:r>
                  <w:r>
                    <w:rPr>
                      <w:rFonts w:hint="default" w:ascii="Times New Roman" w:hAnsi="Times New Roman" w:eastAsia="宋体" w:cs="Times New Roman"/>
                      <w:b w:val="0"/>
                      <w:bCs/>
                      <w:sz w:val="21"/>
                      <w:szCs w:val="21"/>
                      <w:vertAlign w:val="baseline"/>
                      <w:lang w:val="en-US" w:eastAsia="zh-CN"/>
                    </w:rPr>
                    <w:t>#</w:t>
                  </w:r>
                </w:p>
              </w:tc>
              <w:tc>
                <w:tcPr>
                  <w:tcW w:w="729"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sz w:val="21"/>
                      <w:szCs w:val="21"/>
                      <w:lang w:val="en-US" w:eastAsia="zh-CN"/>
                    </w:rPr>
                    <w:t>2024.1.8</w:t>
                  </w: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226</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12：00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13：00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242</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526</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14：00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280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436</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15：00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16：00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214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17：00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172</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416</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18：00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422</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19：00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328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20：00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21：00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344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22：00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23：00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sz w:val="21"/>
                      <w:szCs w:val="21"/>
                      <w:lang w:val="en-US" w:eastAsia="zh-CN"/>
                    </w:rPr>
                    <w:t>2024.1.9</w:t>
                  </w: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00：00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01：00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02：00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03：00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04：00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05：00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06：00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07：00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08：00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09：00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344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9" w:type="pct"/>
                  <w:gridSpan w:val="3"/>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合计</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2768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6090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17638</w:t>
                  </w:r>
                </w:p>
              </w:tc>
            </w:tr>
          </w:tbl>
          <w:p>
            <w:pPr>
              <w:pStyle w:val="14"/>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 xml:space="preserve"> 交通量实际统计</w:t>
            </w:r>
            <w:r>
              <w:rPr>
                <w:rFonts w:hint="default" w:ascii="Times New Roman" w:hAnsi="Times New Roman" w:eastAsia="宋体" w:cs="Times New Roman"/>
                <w:b/>
                <w:bCs/>
                <w:color w:val="auto"/>
                <w:sz w:val="24"/>
                <w:szCs w:val="24"/>
                <w:highlight w:val="none"/>
              </w:rPr>
              <w:t>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543"/>
              <w:gridCol w:w="1545"/>
              <w:gridCol w:w="1545"/>
              <w:gridCol w:w="1355"/>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时间段</w:t>
                  </w:r>
                </w:p>
              </w:tc>
              <w:tc>
                <w:tcPr>
                  <w:tcW w:w="851" w:type="pct"/>
                </w:tcPr>
                <w:p>
                  <w:pPr>
                    <w:jc w:val="center"/>
                    <w:rPr>
                      <w:rFonts w:hint="default"/>
                      <w:b w:val="0"/>
                      <w:bCs w:val="0"/>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eastAsia="zh-CN"/>
                    </w:rPr>
                    <w:t>大型车</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辆/</w:t>
                  </w:r>
                  <w:r>
                    <w:rPr>
                      <w:rFonts w:hint="eastAsia" w:ascii="Times New Roman" w:hAnsi="Times New Roman" w:eastAsia="宋体" w:cs="Times New Roman"/>
                      <w:b w:val="0"/>
                      <w:bCs w:val="0"/>
                      <w:color w:val="auto"/>
                      <w:sz w:val="21"/>
                      <w:szCs w:val="21"/>
                      <w:highlight w:val="none"/>
                      <w:lang w:val="en-US" w:eastAsia="zh-CN"/>
                    </w:rPr>
                    <w:t>d）</w:t>
                  </w:r>
                </w:p>
              </w:tc>
              <w:tc>
                <w:tcPr>
                  <w:tcW w:w="852"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中型车</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辆/</w:t>
                  </w:r>
                  <w:r>
                    <w:rPr>
                      <w:rFonts w:hint="eastAsia" w:ascii="Times New Roman" w:hAnsi="Times New Roman" w:eastAsia="宋体" w:cs="Times New Roman"/>
                      <w:b w:val="0"/>
                      <w:bCs w:val="0"/>
                      <w:color w:val="auto"/>
                      <w:sz w:val="21"/>
                      <w:szCs w:val="21"/>
                      <w:highlight w:val="none"/>
                      <w:lang w:val="en-US" w:eastAsia="zh-CN"/>
                    </w:rPr>
                    <w:t>d）</w:t>
                  </w:r>
                </w:p>
              </w:tc>
              <w:tc>
                <w:tcPr>
                  <w:tcW w:w="852"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小型车</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辆/</w:t>
                  </w:r>
                  <w:r>
                    <w:rPr>
                      <w:rFonts w:hint="eastAsia" w:ascii="Times New Roman" w:hAnsi="Times New Roman" w:eastAsia="宋体" w:cs="Times New Roman"/>
                      <w:b w:val="0"/>
                      <w:bCs w:val="0"/>
                      <w:color w:val="auto"/>
                      <w:sz w:val="21"/>
                      <w:szCs w:val="21"/>
                      <w:highlight w:val="none"/>
                      <w:lang w:val="en-US" w:eastAsia="zh-CN"/>
                    </w:rPr>
                    <w:t>d）</w:t>
                  </w:r>
                </w:p>
              </w:tc>
              <w:tc>
                <w:tcPr>
                  <w:tcW w:w="747"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合计</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辆/</w:t>
                  </w:r>
                  <w:r>
                    <w:rPr>
                      <w:rFonts w:hint="eastAsia" w:ascii="Times New Roman" w:hAnsi="Times New Roman" w:eastAsia="宋体" w:cs="Times New Roman"/>
                      <w:b w:val="0"/>
                      <w:bCs w:val="0"/>
                      <w:color w:val="auto"/>
                      <w:sz w:val="21"/>
                      <w:szCs w:val="21"/>
                      <w:highlight w:val="none"/>
                      <w:lang w:val="en-US" w:eastAsia="zh-CN"/>
                    </w:rPr>
                    <w:t>d）</w:t>
                  </w:r>
                </w:p>
              </w:tc>
              <w:tc>
                <w:tcPr>
                  <w:tcW w:w="818"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折算（pcu/d）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2024.1.8~2024.1.9</w:t>
                  </w:r>
                </w:p>
              </w:tc>
              <w:tc>
                <w:tcPr>
                  <w:tcW w:w="851"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2768</w:t>
                  </w:r>
                </w:p>
              </w:tc>
              <w:tc>
                <w:tcPr>
                  <w:tcW w:w="852"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6090</w:t>
                  </w:r>
                </w:p>
              </w:tc>
              <w:tc>
                <w:tcPr>
                  <w:tcW w:w="852"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17638</w:t>
                  </w:r>
                </w:p>
              </w:tc>
              <w:tc>
                <w:tcPr>
                  <w:tcW w:w="747"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26496</w:t>
                  </w:r>
                </w:p>
              </w:tc>
              <w:tc>
                <w:tcPr>
                  <w:tcW w:w="818"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35077</w:t>
                  </w:r>
                </w:p>
              </w:tc>
            </w:tr>
          </w:tbl>
          <w:p>
            <w:pPr>
              <w:rPr>
                <w:rFonts w:hint="eastAsia"/>
                <w:lang w:eastAsia="zh-CN"/>
              </w:rPr>
            </w:pPr>
            <w:r>
              <w:t>折算系数参考《关调整公路交通情况调查车型分类及折算系数的通知》（1p</w:t>
            </w:r>
            <w:r>
              <w:rPr>
                <w:rFonts w:hint="eastAsia"/>
                <w:lang w:eastAsia="zh-CN"/>
              </w:rPr>
              <w:t>c</w:t>
            </w:r>
            <w:r>
              <w:t>u=1辆小型车、1.5pcu=1辆中车、3pcu</w:t>
            </w:r>
            <w:r>
              <w:rPr>
                <w:rFonts w:hint="eastAsia"/>
                <w:lang w:eastAsia="zh-CN"/>
              </w:rPr>
              <w:t>=</w:t>
            </w:r>
            <w:r>
              <w:t>1辆大型车）</w:t>
            </w:r>
            <w:r>
              <w:rPr>
                <w:rFonts w:hint="eastAsia"/>
                <w:lang w:eastAsia="zh-CN"/>
              </w:rPr>
              <w:t>。</w:t>
            </w:r>
          </w:p>
          <w:p>
            <w:pPr>
              <w:pStyle w:val="5"/>
              <w:widowControl w:val="0"/>
              <w:rPr>
                <w:rFonts w:hint="eastAsia" w:ascii="Times New Roman" w:hAnsi="Times New Roman" w:eastAsia="宋体"/>
                <w:color w:val="auto"/>
                <w:lang w:val="en-US" w:eastAsia="zh-CN"/>
              </w:rPr>
            </w:pPr>
            <w:r>
              <w:rPr>
                <w:rFonts w:hint="default" w:ascii="Times New Roman" w:hAnsi="Times New Roman" w:eastAsia="宋体"/>
                <w:color w:val="auto"/>
                <w:lang w:val="en-US" w:eastAsia="zh-CN"/>
              </w:rPr>
              <w:t>24</w:t>
            </w:r>
            <w:r>
              <w:rPr>
                <w:rFonts w:hint="eastAsia" w:ascii="Times New Roman" w:hAnsi="Times New Roman" w:eastAsia="宋体"/>
                <w:color w:val="auto"/>
                <w:lang w:val="en-US" w:eastAsia="zh-CN"/>
              </w:rPr>
              <w:t>小时连续监测车流量为35077pcu</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日，达到预测交通量的75%。</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8、工程建设变化情况</w:t>
            </w:r>
          </w:p>
          <w:p>
            <w:pPr>
              <w:pStyle w:val="5"/>
              <w:widowControl w:val="0"/>
              <w:rPr>
                <w:rFonts w:hint="eastAsia"/>
                <w:color w:val="auto"/>
                <w:lang w:val="en-US" w:eastAsia="zh-CN"/>
              </w:rPr>
            </w:pPr>
            <w:r>
              <w:rPr>
                <w:rFonts w:hint="default"/>
                <w:color w:val="auto"/>
                <w:lang w:val="en-US" w:eastAsia="zh-CN"/>
              </w:rPr>
              <w:t>根据</w:t>
            </w:r>
            <w:r>
              <w:rPr>
                <w:rFonts w:hint="eastAsia"/>
                <w:color w:val="auto"/>
                <w:lang w:val="en-US" w:eastAsia="zh-CN"/>
              </w:rPr>
              <w:t>《</w:t>
            </w:r>
            <w:r>
              <w:rPr>
                <w:rFonts w:hint="eastAsia" w:cs="Times New Roman"/>
                <w:color w:val="auto"/>
                <w:szCs w:val="21"/>
                <w:highlight w:val="none"/>
                <w:lang w:eastAsia="zh-CN"/>
              </w:rPr>
              <w:t>余姚市余梁公路北延工程建设项目环境影响报告表</w:t>
            </w:r>
            <w:r>
              <w:rPr>
                <w:rFonts w:hint="eastAsia"/>
                <w:color w:val="auto"/>
                <w:lang w:val="en-US" w:eastAsia="zh-CN"/>
              </w:rPr>
              <w:t>》、</w:t>
            </w:r>
            <w:r>
              <w:rPr>
                <w:rFonts w:hint="default"/>
                <w:color w:val="auto"/>
                <w:lang w:val="en-US" w:eastAsia="zh-CN"/>
              </w:rPr>
              <w:t>《</w:t>
            </w:r>
            <w:r>
              <w:rPr>
                <w:rFonts w:hint="eastAsia" w:cs="Times New Roman"/>
                <w:color w:val="auto"/>
                <w:szCs w:val="21"/>
                <w:highlight w:val="none"/>
                <w:lang w:eastAsia="zh-CN"/>
              </w:rPr>
              <w:t>余姚市余梁公路北延工程建设项目环境影响报告表</w:t>
            </w:r>
            <w:r>
              <w:rPr>
                <w:rFonts w:hint="default"/>
                <w:color w:val="auto"/>
                <w:lang w:val="en-US" w:eastAsia="zh-CN"/>
              </w:rPr>
              <w:t>的批复》</w:t>
            </w:r>
            <w:r>
              <w:rPr>
                <w:rFonts w:hint="eastAsia"/>
                <w:color w:val="auto"/>
                <w:lang w:val="en-US" w:eastAsia="zh-CN"/>
              </w:rPr>
              <w:t>（余环建〔2008〕317号），对照</w:t>
            </w:r>
            <w:r>
              <w:rPr>
                <w:rFonts w:hint="default"/>
                <w:color w:val="auto"/>
                <w:lang w:val="en-US" w:eastAsia="zh-CN"/>
              </w:rPr>
              <w:t>《关于印发环评管理中部分行业建设项目重大变动清单的通知》</w:t>
            </w:r>
            <w:r>
              <w:rPr>
                <w:rFonts w:hint="eastAsia"/>
                <w:color w:val="auto"/>
                <w:lang w:val="en-US" w:eastAsia="zh-CN"/>
              </w:rPr>
              <w:t>（</w:t>
            </w:r>
            <w:r>
              <w:rPr>
                <w:rFonts w:hint="default"/>
                <w:color w:val="auto"/>
                <w:lang w:val="en-US" w:eastAsia="zh-CN"/>
              </w:rPr>
              <w:t>环办</w:t>
            </w:r>
            <w:r>
              <w:rPr>
                <w:rFonts w:hint="eastAsia"/>
                <w:color w:val="auto"/>
                <w:lang w:val="en-US" w:eastAsia="zh-CN"/>
              </w:rPr>
              <w:t>〔2015〕</w:t>
            </w:r>
            <w:r>
              <w:rPr>
                <w:rFonts w:hint="default"/>
                <w:color w:val="auto"/>
                <w:lang w:val="en-US" w:eastAsia="zh-CN"/>
              </w:rPr>
              <w:t>52号</w:t>
            </w:r>
            <w:r>
              <w:rPr>
                <w:rFonts w:hint="eastAsia"/>
                <w:color w:val="auto"/>
                <w:lang w:val="en-US" w:eastAsia="zh-CN"/>
              </w:rPr>
              <w:t>）</w:t>
            </w:r>
            <w:r>
              <w:rPr>
                <w:rFonts w:hint="default"/>
                <w:color w:val="auto"/>
                <w:lang w:val="en-US" w:eastAsia="zh-CN"/>
              </w:rPr>
              <w:t>中高速公路建项目重大变动清单</w:t>
            </w:r>
            <w:r>
              <w:rPr>
                <w:rFonts w:hint="eastAsia"/>
                <w:color w:val="auto"/>
                <w:lang w:val="en-US" w:eastAsia="zh-CN"/>
              </w:rPr>
              <w:t>（</w:t>
            </w:r>
            <w:r>
              <w:rPr>
                <w:rFonts w:hint="default"/>
                <w:color w:val="auto"/>
                <w:lang w:val="en-US" w:eastAsia="zh-CN"/>
              </w:rPr>
              <w:t>试行</w:t>
            </w:r>
            <w:r>
              <w:rPr>
                <w:rFonts w:hint="eastAsia"/>
                <w:color w:val="auto"/>
                <w:lang w:val="en-US" w:eastAsia="zh-CN"/>
              </w:rPr>
              <w:t>）等文件，来判定本工程是否属于重大变动，</w:t>
            </w:r>
            <w:r>
              <w:rPr>
                <w:rFonts w:hint="default"/>
                <w:color w:val="auto"/>
                <w:lang w:val="en-US" w:eastAsia="zh-CN"/>
              </w:rPr>
              <w:t>详见下表</w:t>
            </w:r>
            <w:r>
              <w:rPr>
                <w:rFonts w:hint="eastAsia"/>
                <w:color w:val="auto"/>
                <w:lang w:val="en-US" w:eastAsia="zh-CN"/>
              </w:rPr>
              <w:t>：</w:t>
            </w:r>
          </w:p>
          <w:p>
            <w:pPr>
              <w:pStyle w:val="32"/>
              <w:widowControl w:val="0"/>
              <w:bidi w:val="0"/>
              <w:rPr>
                <w:rFonts w:hint="eastAsia"/>
                <w:color w:val="auto"/>
                <w:sz w:val="24"/>
                <w:szCs w:val="24"/>
                <w:lang w:val="en-US" w:eastAsia="zh-CN"/>
              </w:rPr>
            </w:pPr>
          </w:p>
          <w:p>
            <w:pPr>
              <w:pStyle w:val="32"/>
              <w:widowControl w:val="0"/>
              <w:bidi w:val="0"/>
              <w:rPr>
                <w:rFonts w:hint="eastAsia"/>
                <w:color w:val="auto"/>
                <w:sz w:val="24"/>
                <w:szCs w:val="24"/>
                <w:lang w:val="en-US" w:eastAsia="zh-CN"/>
              </w:rPr>
            </w:pPr>
            <w:r>
              <w:rPr>
                <w:rFonts w:hint="eastAsia"/>
                <w:color w:val="auto"/>
                <w:sz w:val="24"/>
                <w:szCs w:val="24"/>
                <w:lang w:val="en-US" w:eastAsia="zh-CN"/>
              </w:rPr>
              <w:t>表4-5本项目重大变动情况对照一览表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74"/>
              <w:gridCol w:w="2071"/>
              <w:gridCol w:w="1979"/>
              <w:gridCol w:w="2190"/>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trPr>
              <w:tc>
                <w:tcPr>
                  <w:tcW w:w="3445" w:type="dxa"/>
                  <w:gridSpan w:val="2"/>
                  <w:tcBorders>
                    <w:tl2br w:val="nil"/>
                    <w:tr2bl w:val="nil"/>
                  </w:tcBorders>
                  <w:shd w:val="clear" w:color="auto" w:fill="auto"/>
                  <w:vAlign w:val="center"/>
                </w:tcPr>
                <w:p>
                  <w:pPr>
                    <w:pStyle w:val="33"/>
                    <w:bidi w:val="0"/>
                    <w:rPr>
                      <w:rFonts w:hint="eastAsia"/>
                      <w:b/>
                      <w:bCs w:val="0"/>
                      <w:color w:val="auto"/>
                      <w:sz w:val="21"/>
                      <w:szCs w:val="21"/>
                    </w:rPr>
                  </w:pPr>
                  <w:r>
                    <w:rPr>
                      <w:rFonts w:hint="eastAsia"/>
                      <w:b/>
                      <w:bCs w:val="0"/>
                      <w:color w:val="auto"/>
                      <w:sz w:val="21"/>
                      <w:szCs w:val="21"/>
                      <w:lang w:val="en-US" w:eastAsia="zh-CN"/>
                    </w:rPr>
                    <w:t>分类</w:t>
                  </w:r>
                </w:p>
              </w:tc>
              <w:tc>
                <w:tcPr>
                  <w:tcW w:w="1979" w:type="dxa"/>
                  <w:tcBorders>
                    <w:tl2br w:val="nil"/>
                    <w:tr2bl w:val="nil"/>
                  </w:tcBorders>
                  <w:shd w:val="clear" w:color="auto" w:fill="auto"/>
                  <w:noWrap/>
                  <w:vAlign w:val="center"/>
                </w:tcPr>
                <w:p>
                  <w:pPr>
                    <w:pStyle w:val="33"/>
                    <w:bidi w:val="0"/>
                    <w:rPr>
                      <w:rFonts w:hint="eastAsia"/>
                      <w:b/>
                      <w:bCs w:val="0"/>
                      <w:color w:val="auto"/>
                      <w:sz w:val="21"/>
                      <w:szCs w:val="21"/>
                    </w:rPr>
                  </w:pPr>
                  <w:r>
                    <w:rPr>
                      <w:rFonts w:hint="eastAsia"/>
                      <w:b/>
                      <w:bCs w:val="0"/>
                      <w:color w:val="auto"/>
                      <w:sz w:val="21"/>
                      <w:szCs w:val="21"/>
                      <w:lang w:val="en-US" w:eastAsia="zh-CN"/>
                    </w:rPr>
                    <w:t>环评阶段</w:t>
                  </w:r>
                </w:p>
              </w:tc>
              <w:tc>
                <w:tcPr>
                  <w:tcW w:w="2190" w:type="dxa"/>
                  <w:tcBorders>
                    <w:tl2br w:val="nil"/>
                    <w:tr2bl w:val="nil"/>
                  </w:tcBorders>
                  <w:shd w:val="clear" w:color="auto" w:fill="auto"/>
                  <w:noWrap/>
                  <w:vAlign w:val="center"/>
                </w:tcPr>
                <w:p>
                  <w:pPr>
                    <w:pStyle w:val="33"/>
                    <w:bidi w:val="0"/>
                    <w:rPr>
                      <w:rFonts w:hint="eastAsia"/>
                      <w:b/>
                      <w:bCs w:val="0"/>
                      <w:color w:val="auto"/>
                      <w:sz w:val="21"/>
                      <w:szCs w:val="21"/>
                    </w:rPr>
                  </w:pPr>
                  <w:r>
                    <w:rPr>
                      <w:rFonts w:hint="eastAsia"/>
                      <w:b/>
                      <w:bCs w:val="0"/>
                      <w:color w:val="auto"/>
                      <w:sz w:val="21"/>
                      <w:szCs w:val="21"/>
                      <w:lang w:val="en-US" w:eastAsia="zh-CN"/>
                    </w:rPr>
                    <w:t>实际建设情况</w:t>
                  </w:r>
                </w:p>
              </w:tc>
              <w:tc>
                <w:tcPr>
                  <w:tcW w:w="1446" w:type="dxa"/>
                  <w:tcBorders>
                    <w:tl2br w:val="nil"/>
                    <w:tr2bl w:val="nil"/>
                  </w:tcBorders>
                  <w:shd w:val="clear" w:color="auto" w:fill="auto"/>
                  <w:noWrap/>
                  <w:tcMar>
                    <w:top w:w="0" w:type="dxa"/>
                    <w:left w:w="57" w:type="dxa"/>
                    <w:bottom w:w="0" w:type="dxa"/>
                    <w:right w:w="57" w:type="dxa"/>
                  </w:tcMar>
                  <w:vAlign w:val="center"/>
                </w:tcPr>
                <w:p>
                  <w:pPr>
                    <w:pStyle w:val="33"/>
                    <w:bidi w:val="0"/>
                    <w:rPr>
                      <w:rFonts w:hint="eastAsia"/>
                      <w:b/>
                      <w:bCs w:val="0"/>
                      <w:color w:val="auto"/>
                      <w:sz w:val="21"/>
                      <w:szCs w:val="21"/>
                    </w:rPr>
                  </w:pPr>
                  <w:r>
                    <w:rPr>
                      <w:rFonts w:hint="eastAsia"/>
                      <w:b/>
                      <w:bCs w:val="0"/>
                      <w:color w:val="auto"/>
                      <w:sz w:val="21"/>
                      <w:szCs w:val="21"/>
                      <w:lang w:val="en-US"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374" w:type="dxa"/>
                  <w:vMerge w:val="restart"/>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r>
                    <w:rPr>
                      <w:color w:val="auto"/>
                      <w:sz w:val="21"/>
                      <w:szCs w:val="21"/>
                      <w:lang w:val="en-US" w:eastAsia="zh-CN"/>
                    </w:rPr>
                    <w:t>规模</w:t>
                  </w:r>
                </w:p>
              </w:tc>
              <w:tc>
                <w:tcPr>
                  <w:tcW w:w="2071" w:type="dxa"/>
                  <w:tcBorders>
                    <w:tl2br w:val="nil"/>
                    <w:tr2bl w:val="nil"/>
                  </w:tcBorders>
                  <w:shd w:val="clear" w:color="auto" w:fill="auto"/>
                  <w:vAlign w:val="center"/>
                </w:tcPr>
                <w:p>
                  <w:pPr>
                    <w:pStyle w:val="33"/>
                    <w:bidi w:val="0"/>
                    <w:rPr>
                      <w:rFonts w:hint="eastAsia"/>
                      <w:color w:val="auto"/>
                      <w:sz w:val="21"/>
                      <w:szCs w:val="21"/>
                    </w:rPr>
                  </w:pPr>
                  <w:r>
                    <w:rPr>
                      <w:color w:val="auto"/>
                      <w:sz w:val="21"/>
                      <w:szCs w:val="21"/>
                      <w:lang w:val="en-US" w:eastAsia="zh-CN"/>
                    </w:rPr>
                    <w:t>车道数或设计车速增加</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default" w:ascii="Times New Roman" w:hAnsi="Times New Roman" w:cs="Times New Roman"/>
                      <w:color w:val="auto"/>
                      <w:sz w:val="21"/>
                      <w:szCs w:val="21"/>
                      <w:highlight w:val="none"/>
                      <w:lang w:val="en-US" w:eastAsia="zh-CN"/>
                    </w:rPr>
                    <w:t>双向</w:t>
                  </w:r>
                  <w:r>
                    <w:rPr>
                      <w:rFonts w:hint="eastAsia" w:cs="Times New Roman"/>
                      <w:color w:val="auto"/>
                      <w:sz w:val="21"/>
                      <w:szCs w:val="21"/>
                      <w:highlight w:val="none"/>
                      <w:lang w:val="en-US" w:eastAsia="zh-CN"/>
                    </w:rPr>
                    <w:t>六</w:t>
                  </w:r>
                  <w:r>
                    <w:rPr>
                      <w:rFonts w:hint="default" w:ascii="Times New Roman" w:hAnsi="Times New Roman" w:cs="Times New Roman"/>
                      <w:color w:val="auto"/>
                      <w:sz w:val="21"/>
                      <w:szCs w:val="21"/>
                      <w:highlight w:val="none"/>
                      <w:lang w:val="en-US" w:eastAsia="zh-CN"/>
                    </w:rPr>
                    <w:t>车道</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设计速度为80km/h</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default" w:ascii="Times New Roman" w:hAnsi="Times New Roman" w:cs="Times New Roman"/>
                      <w:color w:val="auto"/>
                      <w:sz w:val="21"/>
                      <w:szCs w:val="21"/>
                      <w:highlight w:val="none"/>
                      <w:lang w:val="en-US" w:eastAsia="zh-CN"/>
                    </w:rPr>
                    <w:t>双向</w:t>
                  </w:r>
                  <w:r>
                    <w:rPr>
                      <w:rFonts w:hint="eastAsia" w:cs="Times New Roman"/>
                      <w:color w:val="auto"/>
                      <w:sz w:val="21"/>
                      <w:szCs w:val="21"/>
                      <w:highlight w:val="none"/>
                      <w:lang w:val="en-US" w:eastAsia="zh-CN"/>
                    </w:rPr>
                    <w:t>六</w:t>
                  </w:r>
                  <w:r>
                    <w:rPr>
                      <w:rFonts w:hint="default" w:ascii="Times New Roman" w:hAnsi="Times New Roman" w:cs="Times New Roman"/>
                      <w:color w:val="auto"/>
                      <w:sz w:val="21"/>
                      <w:szCs w:val="21"/>
                      <w:highlight w:val="none"/>
                      <w:lang w:val="en-US" w:eastAsia="zh-CN"/>
                    </w:rPr>
                    <w:t>车道</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设计速度为80km/h</w:t>
                  </w:r>
                </w:p>
              </w:tc>
              <w:tc>
                <w:tcPr>
                  <w:tcW w:w="1446" w:type="dxa"/>
                  <w:tcBorders>
                    <w:tl2br w:val="nil"/>
                    <w:tr2bl w:val="nil"/>
                  </w:tcBorders>
                  <w:shd w:val="clear" w:color="auto" w:fill="auto"/>
                  <w:vAlign w:val="center"/>
                </w:tcPr>
                <w:p>
                  <w:pPr>
                    <w:pStyle w:val="33"/>
                    <w:bidi w:val="0"/>
                    <w:rPr>
                      <w:rFonts w:hint="eastAsia" w:eastAsia="宋体"/>
                      <w:color w:val="auto"/>
                      <w:sz w:val="21"/>
                      <w:szCs w:val="21"/>
                      <w:lang w:val="en-US" w:eastAsia="zh-CN"/>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p>
              </w:tc>
              <w:tc>
                <w:tcPr>
                  <w:tcW w:w="2071" w:type="dxa"/>
                  <w:tcBorders>
                    <w:tl2br w:val="nil"/>
                    <w:tr2bl w:val="nil"/>
                  </w:tcBorders>
                  <w:shd w:val="clear" w:color="auto" w:fill="auto"/>
                  <w:vAlign w:val="center"/>
                </w:tcPr>
                <w:p>
                  <w:pPr>
                    <w:pStyle w:val="33"/>
                    <w:bidi w:val="0"/>
                    <w:rPr>
                      <w:rFonts w:hint="eastAsia"/>
                      <w:color w:val="auto"/>
                      <w:sz w:val="21"/>
                      <w:szCs w:val="21"/>
                    </w:rPr>
                  </w:pPr>
                  <w:r>
                    <w:rPr>
                      <w:color w:val="auto"/>
                      <w:sz w:val="21"/>
                      <w:szCs w:val="21"/>
                      <w:lang w:val="en-US" w:eastAsia="zh-CN"/>
                    </w:rPr>
                    <w:t>线路长度增加30%及以上</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default" w:ascii="Times New Roman" w:hAnsi="Times New Roman" w:cs="Times New Roman"/>
                      <w:color w:val="auto"/>
                      <w:sz w:val="21"/>
                      <w:szCs w:val="21"/>
                      <w:highlight w:val="none"/>
                    </w:rPr>
                    <w:t>总里程8.192km</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eastAsia" w:ascii="Times New Roman" w:hAnsi="Times New Roman" w:eastAsia="宋体" w:cs="Times New Roman"/>
                      <w:b w:val="0"/>
                      <w:color w:val="auto"/>
                      <w:kern w:val="2"/>
                      <w:sz w:val="21"/>
                      <w:szCs w:val="21"/>
                      <w:highlight w:val="none"/>
                      <w:lang w:val="en-US" w:eastAsia="zh-CN" w:bidi="ar-SA"/>
                    </w:rPr>
                    <w:t>I、II标段</w:t>
                  </w:r>
                  <w:r>
                    <w:rPr>
                      <w:rFonts w:hint="default" w:ascii="Times New Roman" w:hAnsi="Times New Roman" w:eastAsia="宋体" w:cs="Times New Roman"/>
                      <w:b w:val="0"/>
                      <w:color w:val="auto"/>
                      <w:kern w:val="2"/>
                      <w:sz w:val="21"/>
                      <w:szCs w:val="21"/>
                      <w:highlight w:val="none"/>
                      <w:lang w:val="en-US" w:eastAsia="zh-CN" w:bidi="ar-SA"/>
                    </w:rPr>
                    <w:t>道路长度</w:t>
                  </w:r>
                  <w:r>
                    <w:rPr>
                      <w:rFonts w:hint="eastAsia" w:ascii="Times New Roman" w:hAnsi="Times New Roman" w:eastAsia="宋体" w:cs="Times New Roman"/>
                      <w:b w:val="0"/>
                      <w:color w:val="auto"/>
                      <w:kern w:val="2"/>
                      <w:sz w:val="21"/>
                      <w:szCs w:val="21"/>
                      <w:highlight w:val="none"/>
                      <w:lang w:val="en-US" w:eastAsia="zh-CN" w:bidi="ar-SA"/>
                    </w:rPr>
                    <w:t>3.81km</w:t>
                  </w:r>
                </w:p>
              </w:tc>
              <w:tc>
                <w:tcPr>
                  <w:tcW w:w="1446"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374" w:type="dxa"/>
                  <w:vMerge w:val="restart"/>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r>
                    <w:rPr>
                      <w:color w:val="auto"/>
                      <w:sz w:val="21"/>
                      <w:szCs w:val="21"/>
                      <w:lang w:val="en-US" w:eastAsia="zh-CN"/>
                    </w:rPr>
                    <w:t>地点</w:t>
                  </w:r>
                </w:p>
              </w:tc>
              <w:tc>
                <w:tcPr>
                  <w:tcW w:w="2071"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线路横向位移超出</w:t>
                  </w:r>
                  <w:r>
                    <w:rPr>
                      <w:color w:val="auto"/>
                      <w:sz w:val="21"/>
                      <w:szCs w:val="21"/>
                      <w:lang w:val="en-US" w:eastAsia="zh-CN"/>
                    </w:rPr>
                    <w:t>200米的长度累计达到原线路长度的30%及以上</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default" w:ascii="Times New Roman" w:hAnsi="Times New Roman" w:cs="Times New Roman"/>
                      <w:color w:val="auto"/>
                      <w:sz w:val="21"/>
                      <w:szCs w:val="21"/>
                      <w:highlight w:val="none"/>
                    </w:rPr>
                    <w:t>项目起自谭家岭西路与余梁公路交叉口</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终点在东连接线与梁周线交叉口</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eastAsia" w:ascii="Times New Roman" w:hAnsi="Times New Roman" w:eastAsia="宋体" w:cs="Times New Roman"/>
                      <w:b w:val="0"/>
                      <w:color w:val="auto"/>
                      <w:kern w:val="2"/>
                      <w:sz w:val="21"/>
                      <w:szCs w:val="21"/>
                      <w:highlight w:val="none"/>
                      <w:lang w:val="en-US" w:eastAsia="zh-CN" w:bidi="ar-SA"/>
                    </w:rPr>
                    <w:t>I、II标段</w:t>
                  </w:r>
                  <w:r>
                    <w:rPr>
                      <w:rFonts w:hint="default" w:ascii="Times New Roman" w:hAnsi="Times New Roman" w:eastAsia="宋体" w:cs="Times New Roman"/>
                      <w:b w:val="0"/>
                      <w:color w:val="auto"/>
                      <w:kern w:val="2"/>
                      <w:sz w:val="21"/>
                      <w:szCs w:val="21"/>
                      <w:highlight w:val="none"/>
                      <w:lang w:val="en-US" w:eastAsia="zh-CN" w:bidi="ar-SA"/>
                    </w:rPr>
                    <w:t>道路</w:t>
                  </w:r>
                  <w:r>
                    <w:rPr>
                      <w:rFonts w:hint="default" w:ascii="Times New Roman" w:hAnsi="Times New Roman" w:eastAsia="宋体" w:cs="Times New Roman"/>
                      <w:color w:val="auto"/>
                      <w:sz w:val="21"/>
                      <w:szCs w:val="21"/>
                      <w:highlight w:val="none"/>
                    </w:rPr>
                    <w:t>起自谭家岭西路与余梁公路交叉口</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终点在六一省道与余梁公路交叉口</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p>
              </w:tc>
              <w:tc>
                <w:tcPr>
                  <w:tcW w:w="2071" w:type="dxa"/>
                  <w:tcBorders>
                    <w:tl2br w:val="nil"/>
                    <w:tr2bl w:val="nil"/>
                  </w:tcBorders>
                  <w:shd w:val="clear" w:color="auto" w:fill="auto"/>
                  <w:vAlign w:val="center"/>
                </w:tcPr>
                <w:p>
                  <w:pPr>
                    <w:pStyle w:val="33"/>
                    <w:bidi w:val="0"/>
                    <w:rPr>
                      <w:rFonts w:hint="eastAsia"/>
                      <w:color w:val="auto"/>
                      <w:sz w:val="21"/>
                      <w:szCs w:val="21"/>
                    </w:rPr>
                  </w:pPr>
                  <w:r>
                    <w:rPr>
                      <w:color w:val="auto"/>
                      <w:sz w:val="21"/>
                      <w:szCs w:val="21"/>
                      <w:lang w:val="en-US" w:eastAsia="zh-CN"/>
                    </w:rPr>
                    <w:t>工程线路、服务区等附属设施或特大桥、特长隧道等发生变化</w:t>
                  </w:r>
                  <w:r>
                    <w:rPr>
                      <w:rFonts w:hint="eastAsia"/>
                      <w:color w:val="auto"/>
                      <w:sz w:val="21"/>
                      <w:szCs w:val="21"/>
                      <w:lang w:val="en-US" w:eastAsia="zh-CN"/>
                    </w:rPr>
                    <w:t>，</w:t>
                  </w:r>
                  <w:r>
                    <w:rPr>
                      <w:color w:val="auto"/>
                      <w:sz w:val="21"/>
                      <w:szCs w:val="21"/>
                      <w:lang w:val="en-US" w:eastAsia="zh-CN"/>
                    </w:rPr>
                    <w:t>导致评价范围内出现新的自然保护区、风景名胜区、饮用水水源保护区等生态敏感区</w:t>
                  </w:r>
                  <w:r>
                    <w:rPr>
                      <w:rFonts w:hint="eastAsia"/>
                      <w:color w:val="auto"/>
                      <w:sz w:val="21"/>
                      <w:szCs w:val="21"/>
                      <w:lang w:val="en-US" w:eastAsia="zh-CN"/>
                    </w:rPr>
                    <w:t>，</w:t>
                  </w:r>
                  <w:r>
                    <w:rPr>
                      <w:color w:val="auto"/>
                      <w:sz w:val="21"/>
                      <w:szCs w:val="21"/>
                      <w:lang w:val="en-US" w:eastAsia="zh-CN"/>
                    </w:rPr>
                    <w:t>或导致出现新的城市规划区和建成区</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工程沿线不涉及</w:t>
                  </w:r>
                  <w:r>
                    <w:rPr>
                      <w:color w:val="auto"/>
                      <w:sz w:val="21"/>
                      <w:szCs w:val="21"/>
                      <w:lang w:val="en-US" w:eastAsia="zh-CN"/>
                    </w:rPr>
                    <w:t>自然保护区、风景名胜区、饮用水水源保护区等生态敏感区</w:t>
                  </w:r>
                </w:p>
              </w:tc>
              <w:tc>
                <w:tcPr>
                  <w:tcW w:w="2190"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本工程线路及附属设施未发生变化，且沿线不涉及</w:t>
                  </w:r>
                  <w:r>
                    <w:rPr>
                      <w:color w:val="auto"/>
                      <w:sz w:val="21"/>
                      <w:szCs w:val="21"/>
                      <w:lang w:val="en-US" w:eastAsia="zh-CN"/>
                    </w:rPr>
                    <w:t>自然保护区、风景名胜区、饮用水水源保护区等生态敏感区</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p>
              </w:tc>
              <w:tc>
                <w:tcPr>
                  <w:tcW w:w="2071"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项目变动导致新增声环境敏感点数量累计达到原敏感点数量的30%及以上</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工程沿线有十二个声环境保护目标</w:t>
                  </w:r>
                </w:p>
              </w:tc>
              <w:tc>
                <w:tcPr>
                  <w:tcW w:w="2190"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本工程地点、规模及附属设施等未发生变化</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374" w:type="dxa"/>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r>
                    <w:rPr>
                      <w:color w:val="auto"/>
                      <w:sz w:val="21"/>
                      <w:szCs w:val="21"/>
                      <w:lang w:val="en-US" w:eastAsia="zh-CN"/>
                    </w:rPr>
                    <w:t>生产工艺</w:t>
                  </w:r>
                </w:p>
              </w:tc>
              <w:tc>
                <w:tcPr>
                  <w:tcW w:w="2071"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项目在自然保护区、风景名胜区、饮用水水源保护区等生态敏感区内的线位走向和长度、服务区等主要工程内容，以及施工方案等发生变化</w:t>
                  </w:r>
                </w:p>
              </w:tc>
              <w:tc>
                <w:tcPr>
                  <w:tcW w:w="1979"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工程沿线不涉及</w:t>
                  </w:r>
                  <w:r>
                    <w:rPr>
                      <w:color w:val="auto"/>
                      <w:sz w:val="21"/>
                      <w:szCs w:val="21"/>
                      <w:lang w:val="en-US" w:eastAsia="zh-CN"/>
                    </w:rPr>
                    <w:t>自然保护区、风景名胜区、饮用水水源保护区等生态敏感区</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工程沿线不涉及</w:t>
                  </w:r>
                  <w:r>
                    <w:rPr>
                      <w:color w:val="auto"/>
                      <w:sz w:val="21"/>
                      <w:szCs w:val="21"/>
                      <w:lang w:val="en-US" w:eastAsia="zh-CN"/>
                    </w:rPr>
                    <w:t>自然保护区、风景名胜区、饮用水水源保护区等生态敏感区</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r>
                    <w:rPr>
                      <w:color w:val="auto"/>
                      <w:sz w:val="21"/>
                      <w:szCs w:val="21"/>
                      <w:lang w:val="en-US" w:eastAsia="zh-CN"/>
                    </w:rPr>
                    <w:t>环境保护措施</w:t>
                  </w:r>
                </w:p>
              </w:tc>
              <w:tc>
                <w:tcPr>
                  <w:tcW w:w="2071"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取消具有野生动物迁徙通道功能和水源涵养功能的桥梁，噪声污染防治措施等主要环境保护措施弱化或降低</w:t>
                  </w:r>
                </w:p>
              </w:tc>
              <w:tc>
                <w:tcPr>
                  <w:tcW w:w="1979"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rPr>
                    <w:t>本</w:t>
                  </w:r>
                  <w:r>
                    <w:rPr>
                      <w:rFonts w:hint="eastAsia"/>
                      <w:color w:val="auto"/>
                      <w:sz w:val="21"/>
                      <w:szCs w:val="21"/>
                      <w:lang w:val="en-US" w:eastAsia="zh-CN"/>
                    </w:rPr>
                    <w:t>工程</w:t>
                  </w:r>
                  <w:r>
                    <w:rPr>
                      <w:rFonts w:hint="eastAsia"/>
                      <w:color w:val="auto"/>
                      <w:sz w:val="21"/>
                      <w:szCs w:val="21"/>
                    </w:rPr>
                    <w:t>不涉及野生动物迁徙通道</w:t>
                  </w:r>
                  <w:r>
                    <w:rPr>
                      <w:rFonts w:hint="eastAsia"/>
                      <w:color w:val="auto"/>
                      <w:sz w:val="21"/>
                      <w:szCs w:val="21"/>
                      <w:lang w:eastAsia="zh-CN"/>
                    </w:rPr>
                    <w:t>，</w:t>
                  </w:r>
                  <w:r>
                    <w:rPr>
                      <w:rFonts w:hint="eastAsia"/>
                      <w:color w:val="auto"/>
                      <w:sz w:val="21"/>
                      <w:szCs w:val="21"/>
                    </w:rPr>
                    <w:t>噪声污染防治措施措施没有弱化或降低</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rPr>
                    <w:t>本</w:t>
                  </w:r>
                  <w:r>
                    <w:rPr>
                      <w:rFonts w:hint="eastAsia"/>
                      <w:color w:val="auto"/>
                      <w:sz w:val="21"/>
                      <w:szCs w:val="21"/>
                      <w:lang w:val="en-US" w:eastAsia="zh-CN"/>
                    </w:rPr>
                    <w:t>工程</w:t>
                  </w:r>
                  <w:r>
                    <w:rPr>
                      <w:rFonts w:hint="eastAsia"/>
                      <w:color w:val="auto"/>
                      <w:sz w:val="21"/>
                      <w:szCs w:val="21"/>
                    </w:rPr>
                    <w:t>不涉及野生动物迁徙通道</w:t>
                  </w:r>
                  <w:r>
                    <w:rPr>
                      <w:rFonts w:hint="eastAsia"/>
                      <w:color w:val="auto"/>
                      <w:sz w:val="21"/>
                      <w:szCs w:val="21"/>
                      <w:lang w:eastAsia="zh-CN"/>
                    </w:rPr>
                    <w:t>，</w:t>
                  </w:r>
                  <w:r>
                    <w:rPr>
                      <w:rFonts w:hint="eastAsia"/>
                      <w:color w:val="auto"/>
                      <w:sz w:val="21"/>
                      <w:szCs w:val="21"/>
                    </w:rPr>
                    <w:t>噪声污染防治措施措施没有弱化或降低</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bl>
          <w:p>
            <w:pPr>
              <w:pStyle w:val="5"/>
              <w:keepNext w:val="0"/>
              <w:keepLines w:val="0"/>
              <w:pageBreakBefore w:val="0"/>
              <w:widowControl/>
              <w:kinsoku/>
              <w:wordWrap/>
              <w:overflowPunct/>
              <w:topLinePunct w:val="0"/>
              <w:autoSpaceDE/>
              <w:autoSpaceDN/>
              <w:bidi w:val="0"/>
              <w:adjustRightInd/>
              <w:snapToGrid/>
              <w:spacing w:before="181" w:beforeLines="50"/>
              <w:textAlignment w:val="auto"/>
              <w:rPr>
                <w:rFonts w:hint="eastAsia"/>
                <w:color w:val="auto"/>
                <w:lang w:val="en-US" w:eastAsia="zh-CN"/>
              </w:rPr>
            </w:pPr>
            <w:r>
              <w:rPr>
                <w:rFonts w:hint="eastAsia"/>
                <w:color w:val="auto"/>
                <w:lang w:val="en-US" w:eastAsia="zh-CN"/>
              </w:rPr>
              <w:t>上表对比以及验收现场调查，本工程建设地理位置、未发生变化，</w:t>
            </w:r>
            <w:r>
              <w:rPr>
                <w:rFonts w:hint="default"/>
                <w:color w:val="auto"/>
                <w:lang w:val="en-US" w:eastAsia="zh-CN"/>
              </w:rPr>
              <w:t>工程</w:t>
            </w:r>
            <w:r>
              <w:rPr>
                <w:rFonts w:hint="eastAsia"/>
                <w:color w:val="auto"/>
                <w:lang w:val="en-US" w:eastAsia="zh-CN"/>
              </w:rPr>
              <w:t>平面布置与环评阶段基本保持一致，未发生变化。</w:t>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color w:val="auto"/>
                <w:lang w:val="en-US" w:eastAsia="zh-CN"/>
              </w:rPr>
              <w:t>从整体看，项目建设内容整体和环评设计一致，未发生变化，根据《环境影评价法》第二十四条第一款规定：“建设项目的环境影响评价文件经批准后，建设项目的性质、规模、地点、采取的生产工艺或者防治污染、防止生态破坏的措施发生重大变动的，建设单位应当重新报批建设项目的环境影响评价文件”，同时参考《关于印发环评管理中部分行业建设项目重大变动清单的通知》（环办[2015]152号），可知本工程的性质、规模、地点、采取的生产工艺以及防治污染的措施未发生变化，因此本工程不属于重大变动。工程符合</w:t>
            </w:r>
            <w:r>
              <w:rPr>
                <w:rFonts w:hint="default" w:ascii="Times New Roman" w:hAnsi="Times New Roman" w:eastAsia="宋体" w:cs="Times New Roman"/>
                <w:color w:val="auto"/>
                <w:kern w:val="0"/>
                <w:sz w:val="24"/>
                <w:highlight w:val="none"/>
              </w:rPr>
              <w:t>《建设项目竣工环境保护验收技术规范 公路》（HJ552-2010）</w:t>
            </w:r>
            <w:r>
              <w:rPr>
                <w:rFonts w:hint="eastAsia"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《建设项目竣工环境保护验收技术规范 生态影响类》（HJ/T394-2007）</w:t>
            </w:r>
            <w:r>
              <w:rPr>
                <w:rFonts w:hint="eastAsia"/>
                <w:color w:val="auto"/>
                <w:lang w:val="en-US" w:eastAsia="zh-CN"/>
              </w:rPr>
              <w:t>及《建设项目竣工环境保护验收暂行办法》中的验收要求。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0" w:hRule="atLeast"/>
        </w:trPr>
        <w:tc>
          <w:tcPr>
            <w:tcW w:w="5000" w:type="pct"/>
            <w:gridSpan w:val="2"/>
          </w:tcPr>
          <w:p>
            <w:pPr>
              <w:pStyle w:val="19"/>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生产工艺流程</w:t>
            </w:r>
          </w:p>
          <w:p>
            <w:pPr>
              <w:pStyle w:val="5"/>
              <w:widowControl w:val="0"/>
              <w:rPr>
                <w:rFonts w:hint="default"/>
                <w:color w:val="auto"/>
                <w:lang w:val="en-US" w:eastAsia="zh-CN"/>
              </w:rPr>
            </w:pPr>
            <w:r>
              <w:rPr>
                <w:rFonts w:hint="default"/>
                <w:color w:val="auto"/>
                <w:lang w:val="en-US" w:eastAsia="zh-CN"/>
              </w:rPr>
              <w:t>本项目属于</w:t>
            </w:r>
            <w:r>
              <w:rPr>
                <w:rFonts w:hint="eastAsia"/>
                <w:color w:val="auto"/>
                <w:lang w:val="en-US" w:eastAsia="zh-CN"/>
              </w:rPr>
              <w:t>等级</w:t>
            </w:r>
            <w:r>
              <w:rPr>
                <w:rFonts w:hint="default"/>
                <w:color w:val="auto"/>
                <w:lang w:val="en-US" w:eastAsia="zh-CN"/>
              </w:rPr>
              <w:t>公路建设项目</w:t>
            </w:r>
            <w:r>
              <w:rPr>
                <w:rFonts w:hint="eastAsia"/>
                <w:color w:val="auto"/>
                <w:lang w:val="en-US" w:eastAsia="zh-CN"/>
              </w:rPr>
              <w:t>，</w:t>
            </w:r>
            <w:r>
              <w:rPr>
                <w:rFonts w:hint="default"/>
                <w:color w:val="auto"/>
                <w:lang w:val="en-US" w:eastAsia="zh-CN"/>
              </w:rPr>
              <w:t>施工期工程主要包括征地、拆迁、土石方工程、路基路面工程、桥梁工程、临时占地、材料运输、排水工程及绿化工程等。</w:t>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b/>
                <w:bCs/>
                <w:color w:val="auto"/>
                <w:kern w:val="2"/>
                <w:sz w:val="24"/>
                <w:szCs w:val="24"/>
                <w:highlight w:val="none"/>
                <w:lang w:val="en-US" w:eastAsia="zh-CN" w:bidi="ar-SA"/>
              </w:rPr>
            </w:pPr>
            <w:r>
              <w:rPr>
                <w:rFonts w:hint="default"/>
                <w:color w:val="auto"/>
                <w:lang w:val="en-US" w:eastAsia="zh-CN"/>
              </w:rPr>
              <w:t>施工期工艺流程详见下图</w:t>
            </w:r>
            <w:r>
              <w:rPr>
                <w:rFonts w:hint="eastAsia"/>
                <w:color w:val="auto"/>
                <w:lang w:val="en-US" w:eastAsia="zh-CN"/>
              </w:rPr>
              <w:t>：</w:t>
            </w:r>
          </w:p>
          <w:p>
            <w:pPr>
              <w:pStyle w:val="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auto"/>
              </w:rPr>
            </w:pPr>
            <w:r>
              <w:drawing>
                <wp:inline distT="0" distB="0" distL="114300" distR="114300">
                  <wp:extent cx="5671185" cy="1905635"/>
                  <wp:effectExtent l="0" t="0" r="5715"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671185" cy="1905635"/>
                          </a:xfrm>
                          <a:prstGeom prst="rect">
                            <a:avLst/>
                          </a:prstGeom>
                          <a:noFill/>
                          <a:ln>
                            <a:noFill/>
                          </a:ln>
                        </pic:spPr>
                      </pic:pic>
                    </a:graphicData>
                  </a:graphic>
                </wp:inline>
              </w:drawing>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lang w:eastAsia="zh-CN"/>
              </w:rPr>
              <w:t>本项目道路施工顺序如下：</w:t>
            </w:r>
            <w:r>
              <w:rPr>
                <w:rFonts w:hint="eastAsia"/>
                <w:color w:val="auto"/>
                <w:lang w:val="en-US" w:eastAsia="zh-CN"/>
              </w:rPr>
              <w:t>管道铺设——</w:t>
            </w:r>
            <w:r>
              <w:rPr>
                <w:rFonts w:hint="eastAsia"/>
                <w:color w:val="auto"/>
                <w:lang w:eastAsia="zh-CN"/>
              </w:rPr>
              <w:t>路基（回填塘渣和石灰土</w:t>
            </w:r>
            <w:r>
              <w:rPr>
                <w:rFonts w:hint="eastAsia"/>
                <w:color w:val="auto"/>
                <w:lang w:val="en-US" w:eastAsia="zh-CN"/>
              </w:rPr>
              <w:t>等</w:t>
            </w:r>
            <w:r>
              <w:rPr>
                <w:rFonts w:hint="eastAsia"/>
                <w:color w:val="auto"/>
                <w:lang w:eastAsia="zh-CN"/>
              </w:rPr>
              <w:t>）</w:t>
            </w:r>
            <w:r>
              <w:rPr>
                <w:rFonts w:hint="eastAsia"/>
                <w:color w:val="auto"/>
                <w:lang w:val="en-US" w:eastAsia="zh-CN"/>
              </w:rPr>
              <w:t>——基础工程</w:t>
            </w:r>
            <w:r>
              <w:rPr>
                <w:rFonts w:hint="eastAsia"/>
                <w:color w:val="auto"/>
                <w:lang w:eastAsia="zh-CN"/>
              </w:rPr>
              <w:t>—</w:t>
            </w:r>
            <w:r>
              <w:rPr>
                <w:rFonts w:hint="eastAsia"/>
                <w:color w:val="auto"/>
                <w:lang w:val="en-US" w:eastAsia="zh-CN"/>
              </w:rPr>
              <w:t>路面修筑</w:t>
            </w:r>
            <w:r>
              <w:rPr>
                <w:rFonts w:hint="eastAsia"/>
                <w:color w:val="auto"/>
                <w:lang w:eastAsia="zh-CN"/>
              </w:rPr>
              <w:t>（稳定碎石基层—砌筑路缘石—沥青混凝土路面）</w:t>
            </w:r>
            <w:r>
              <w:rPr>
                <w:rFonts w:hint="eastAsia"/>
                <w:color w:val="auto"/>
                <w:lang w:val="en-US" w:eastAsia="zh-CN"/>
              </w:rPr>
              <w:t>——人行道——绿化——附属设施安装</w:t>
            </w:r>
            <w:r>
              <w:rPr>
                <w:rFonts w:hint="eastAsia"/>
                <w:color w:val="auto"/>
                <w:lang w:eastAsia="zh-CN"/>
              </w:rPr>
              <w:t>。</w:t>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eastAsia="zh-CN"/>
              </w:rPr>
              <w:t>本项目</w:t>
            </w:r>
            <w:r>
              <w:rPr>
                <w:rFonts w:hint="eastAsia"/>
                <w:color w:val="auto"/>
                <w:lang w:val="en-US" w:eastAsia="zh-CN"/>
              </w:rPr>
              <w:t>桥梁</w:t>
            </w:r>
            <w:r>
              <w:rPr>
                <w:rFonts w:hint="eastAsia"/>
                <w:color w:val="auto"/>
                <w:lang w:eastAsia="zh-CN"/>
              </w:rPr>
              <w:t>施工顺序如下：</w:t>
            </w:r>
            <w:r>
              <w:rPr>
                <w:rFonts w:hint="eastAsia"/>
                <w:color w:val="auto"/>
                <w:lang w:val="en-US" w:eastAsia="zh-CN"/>
              </w:rPr>
              <w:t>钻孔桩</w:t>
            </w:r>
            <w:r>
              <w:rPr>
                <w:rFonts w:hint="eastAsia"/>
                <w:color w:val="auto"/>
                <w:lang w:eastAsia="zh-CN"/>
              </w:rPr>
              <w:t>—</w:t>
            </w:r>
            <w:r>
              <w:rPr>
                <w:rFonts w:hint="eastAsia"/>
                <w:color w:val="auto"/>
                <w:lang w:val="en-US" w:eastAsia="zh-CN"/>
              </w:rPr>
              <w:t>桥台——盖梁——桥面——铺装层。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2" w:hRule="atLeast"/>
        </w:trPr>
        <w:tc>
          <w:tcPr>
            <w:tcW w:w="5000" w:type="pct"/>
            <w:gridSpan w:val="2"/>
          </w:tcPr>
          <w:p>
            <w:pPr>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工程占地及平面布置（附图）</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本次验收项目为</w:t>
            </w:r>
            <w:r>
              <w:rPr>
                <w:rFonts w:hint="default" w:ascii="Times New Roman" w:hAnsi="Times New Roman" w:cs="Times New Roman"/>
                <w:color w:val="auto"/>
                <w:sz w:val="24"/>
                <w:highlight w:val="none"/>
              </w:rPr>
              <w:t>余姚市余梁公路北延工程I、II标段工程</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公路整体呈</w:t>
            </w:r>
            <w:r>
              <w:rPr>
                <w:rFonts w:hint="eastAsia" w:ascii="Times New Roman" w:hAnsi="Times New Roman" w:cs="Times New Roman"/>
                <w:color w:val="auto"/>
                <w:sz w:val="24"/>
                <w:szCs w:val="24"/>
                <w:highlight w:val="none"/>
                <w:lang w:val="en-US" w:eastAsia="zh-CN"/>
              </w:rPr>
              <w:t>南北</w:t>
            </w:r>
            <w:r>
              <w:rPr>
                <w:rFonts w:hint="default" w:ascii="Times New Roman" w:hAnsi="Times New Roman" w:cs="Times New Roman"/>
                <w:color w:val="auto"/>
                <w:sz w:val="24"/>
                <w:szCs w:val="24"/>
                <w:highlight w:val="none"/>
                <w:lang w:eastAsia="zh-CN"/>
              </w:rPr>
              <w:t>走向</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highlight w:val="none"/>
                <w:lang w:val="en-US" w:eastAsia="zh-CN"/>
              </w:rPr>
              <w:t>其中</w:t>
            </w:r>
            <w:r>
              <w:rPr>
                <w:rFonts w:hint="default" w:ascii="Times New Roman" w:hAnsi="Times New Roman" w:cs="Times New Roman"/>
                <w:color w:val="auto"/>
                <w:sz w:val="24"/>
                <w:highlight w:val="none"/>
                <w:lang w:val="en-US" w:eastAsia="zh-CN"/>
              </w:rPr>
              <w:t>I标段为K0+000-K3+100段、Ⅱ标段为K3+100-K3+810段</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起自谭家岭西路与余梁公路交叉口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终点在六一省道与余梁公路交叉口</w:t>
            </w:r>
            <w:r>
              <w:rPr>
                <w:rFonts w:hint="default" w:ascii="Times New Roman" w:hAnsi="Times New Roman" w:cs="Times New Roman"/>
                <w:color w:val="auto"/>
                <w:sz w:val="24"/>
                <w:szCs w:val="24"/>
                <w:highlight w:val="none"/>
              </w:rPr>
              <w:t>。</w:t>
            </w:r>
          </w:p>
          <w:p>
            <w:pPr>
              <w:pStyle w:val="18"/>
              <w:keepNext w:val="0"/>
              <w:keepLines w:val="0"/>
              <w:pageBreakBefore w:val="0"/>
              <w:widowControl w:val="0"/>
              <w:kinsoku/>
              <w:wordWrap/>
              <w:overflowPunct/>
              <w:topLinePunct w:val="0"/>
              <w:bidi w:val="0"/>
              <w:adjustRightInd/>
              <w:snapToGrid/>
              <w:spacing w:line="360" w:lineRule="auto"/>
              <w:jc w:val="both"/>
              <w:textAlignment w:val="auto"/>
              <w:rPr>
                <w:rFonts w:hint="default" w:ascii="Times New Roman" w:hAnsi="Times New Roman" w:cs="Times New Roman"/>
                <w:color w:val="auto"/>
                <w:highlight w:val="none"/>
              </w:rPr>
            </w:pPr>
            <w:r>
              <w:rPr>
                <w:rFonts w:hint="eastAsia" w:ascii="Times New Roman" w:hAnsi="Times New Roman" w:cs="Times New Roman" w:eastAsiaTheme="minorEastAsia"/>
                <w:color w:val="auto"/>
                <w:highlight w:val="none"/>
                <w:lang w:eastAsia="zh-CN"/>
              </w:rPr>
              <w:drawing>
                <wp:inline distT="0" distB="0" distL="114300" distR="114300">
                  <wp:extent cx="5801995" cy="4698365"/>
                  <wp:effectExtent l="0" t="0" r="8255" b="6985"/>
                  <wp:docPr id="10" name="图片 10" descr="170694340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6943405905"/>
                          <pic:cNvPicPr>
                            <a:picLocks noChangeAspect="1"/>
                          </pic:cNvPicPr>
                        </pic:nvPicPr>
                        <pic:blipFill>
                          <a:blip r:embed="rId12"/>
                          <a:stretch>
                            <a:fillRect/>
                          </a:stretch>
                        </pic:blipFill>
                        <pic:spPr>
                          <a:xfrm>
                            <a:off x="0" y="0"/>
                            <a:ext cx="5801995" cy="4698365"/>
                          </a:xfrm>
                          <a:prstGeom prst="rect">
                            <a:avLst/>
                          </a:prstGeom>
                        </pic:spPr>
                      </pic:pic>
                    </a:graphicData>
                  </a:graphic>
                </wp:inline>
              </w:drawing>
            </w:r>
          </w:p>
          <w:p>
            <w:pPr>
              <w:pStyle w:val="18"/>
              <w:keepNext w:val="0"/>
              <w:keepLines w:val="0"/>
              <w:pageBreakBefore w:val="0"/>
              <w:widowControl w:val="0"/>
              <w:kinsoku/>
              <w:wordWrap/>
              <w:overflowPunct/>
              <w:topLinePunct w:val="0"/>
              <w:bidi w:val="0"/>
              <w:adjustRightInd/>
              <w:snapToGrid/>
              <w:spacing w:line="360" w:lineRule="auto"/>
              <w:ind w:firstLine="482" w:firstLineChars="200"/>
              <w:jc w:val="center"/>
              <w:textAlignment w:val="auto"/>
              <w:rPr>
                <w:rFonts w:hint="default" w:ascii="Times New Roman" w:hAnsi="Times New Roman" w:cs="Times New Roman"/>
                <w:b/>
                <w:bCs/>
                <w:color w:val="auto"/>
                <w:highlight w:val="none"/>
                <w:lang w:val="en-US"/>
              </w:rPr>
            </w:pPr>
            <w:r>
              <w:rPr>
                <w:rFonts w:hint="default" w:ascii="Times New Roman" w:hAnsi="Times New Roman" w:eastAsia="宋体" w:cs="Times New Roman"/>
                <w:b/>
                <w:bCs/>
                <w:color w:val="auto"/>
                <w:sz w:val="24"/>
                <w:szCs w:val="24"/>
                <w:highlight w:val="none"/>
                <w:lang w:eastAsia="zh-CN"/>
              </w:rPr>
              <w:t>图</w:t>
            </w:r>
            <w:r>
              <w:rPr>
                <w:rFonts w:hint="default" w:ascii="Times New Roman" w:hAnsi="Times New Roman" w:eastAsia="宋体" w:cs="Times New Roman"/>
                <w:b/>
                <w:bCs/>
                <w:color w:val="auto"/>
                <w:sz w:val="24"/>
                <w:szCs w:val="24"/>
                <w:highlight w:val="none"/>
                <w:lang w:val="en-US" w:eastAsia="zh-CN"/>
              </w:rPr>
              <w:t xml:space="preserve">4-2  </w:t>
            </w:r>
            <w:r>
              <w:rPr>
                <w:rFonts w:hint="default" w:ascii="Times New Roman" w:hAnsi="Times New Roman" w:eastAsia="宋体" w:cs="Times New Roman"/>
                <w:b/>
                <w:bCs/>
                <w:color w:val="auto"/>
                <w:sz w:val="24"/>
                <w:szCs w:val="24"/>
                <w:highlight w:val="none"/>
                <w:lang w:eastAsia="zh-CN"/>
              </w:rPr>
              <w:t>道路总平面布置图</w:t>
            </w: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6" w:hRule="atLeast"/>
        </w:trPr>
        <w:tc>
          <w:tcPr>
            <w:tcW w:w="5000" w:type="pct"/>
            <w:gridSpan w:val="2"/>
          </w:tcPr>
          <w:p>
            <w:pPr>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工程环境保护投资明细</w:t>
            </w:r>
          </w:p>
          <w:p>
            <w:pPr>
              <w:ind w:firstLine="421"/>
              <w:jc w:val="left"/>
              <w:rPr>
                <w:rStyle w:val="22"/>
                <w:rFonts w:hint="default" w:ascii="Times New Roman" w:hAnsi="Times New Roman" w:cs="Times New Roman"/>
                <w:color w:val="auto"/>
                <w:highlight w:val="none"/>
              </w:rPr>
            </w:pPr>
            <w:r>
              <w:rPr>
                <w:rStyle w:val="22"/>
                <w:rFonts w:hint="default" w:ascii="Times New Roman" w:hAnsi="Times New Roman" w:cs="Times New Roman"/>
                <w:color w:val="auto"/>
                <w:highlight w:val="none"/>
              </w:rPr>
              <w:t>工程环境保护投资明细见表4-</w:t>
            </w:r>
            <w:r>
              <w:rPr>
                <w:rStyle w:val="22"/>
                <w:rFonts w:hint="eastAsia" w:ascii="Times New Roman" w:hAnsi="Times New Roman" w:eastAsia="宋体" w:cs="Times New Roman"/>
                <w:color w:val="auto"/>
                <w:highlight w:val="none"/>
                <w:lang w:val="en-US" w:eastAsia="zh-CN"/>
              </w:rPr>
              <w:t>6</w:t>
            </w:r>
            <w:r>
              <w:rPr>
                <w:rStyle w:val="22"/>
                <w:rFonts w:hint="default" w:ascii="Times New Roman" w:hAnsi="Times New Roman" w:cs="Times New Roman"/>
                <w:color w:val="auto"/>
                <w:highlight w:val="none"/>
              </w:rPr>
              <w:t>。</w:t>
            </w:r>
          </w:p>
          <w:p>
            <w:pPr>
              <w:pStyle w:val="20"/>
              <w:spacing w:before="156" w:after="15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w:t>
            </w:r>
            <w:r>
              <w:rPr>
                <w:rFonts w:hint="eastAsia" w:ascii="Times New Roman" w:hAnsi="Times New Roman" w:cs="Times New Roman"/>
                <w:color w:val="auto"/>
                <w:sz w:val="21"/>
                <w:szCs w:val="21"/>
                <w:highlight w:val="none"/>
                <w:lang w:val="en-US" w:eastAsia="zh-CN"/>
              </w:rPr>
              <w:t xml:space="preserve">6 </w:t>
            </w:r>
            <w:r>
              <w:rPr>
                <w:rFonts w:hint="default" w:ascii="Times New Roman" w:hAnsi="Times New Roman" w:cs="Times New Roman"/>
                <w:color w:val="auto"/>
                <w:sz w:val="21"/>
                <w:szCs w:val="21"/>
                <w:highlight w:val="none"/>
              </w:rPr>
              <w:t>项目环保投资汇总表</w:t>
            </w:r>
          </w:p>
          <w:tbl>
            <w:tblPr>
              <w:tblStyle w:val="15"/>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60"/>
              <w:gridCol w:w="1260"/>
              <w:gridCol w:w="2858"/>
              <w:gridCol w:w="1586"/>
              <w:gridCol w:w="18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环保项目</w:t>
                  </w:r>
                </w:p>
              </w:tc>
              <w:tc>
                <w:tcPr>
                  <w:tcW w:w="2274" w:type="pct"/>
                  <w:gridSpan w:val="2"/>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措施内容</w:t>
                  </w:r>
                </w:p>
              </w:tc>
              <w:tc>
                <w:tcPr>
                  <w:tcW w:w="876" w:type="pct"/>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环评预算</w:t>
                  </w:r>
                  <w:r>
                    <w:rPr>
                      <w:rFonts w:hint="default" w:ascii="Times New Roman" w:hAnsi="Times New Roman" w:eastAsia="宋体" w:cs="Times New Roman"/>
                      <w:color w:val="auto"/>
                      <w:kern w:val="0"/>
                      <w:sz w:val="21"/>
                      <w:szCs w:val="21"/>
                      <w:highlight w:val="none"/>
                    </w:rPr>
                    <w:t>金额（万元）</w:t>
                  </w:r>
                </w:p>
              </w:tc>
              <w:tc>
                <w:tcPr>
                  <w:tcW w:w="1041" w:type="pct"/>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I、II标段</w:t>
                  </w:r>
                  <w:r>
                    <w:rPr>
                      <w:rFonts w:hint="default" w:ascii="Times New Roman" w:hAnsi="Times New Roman" w:eastAsia="宋体" w:cs="Times New Roman"/>
                      <w:color w:val="auto"/>
                      <w:kern w:val="0"/>
                      <w:sz w:val="21"/>
                      <w:szCs w:val="21"/>
                      <w:highlight w:val="none"/>
                      <w:lang w:eastAsia="zh-CN"/>
                    </w:rPr>
                    <w:t>实际投资金额（万元）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Merge w:val="restar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声环境保护措施</w:t>
                  </w: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临时隔声</w:t>
                  </w:r>
                  <w:r>
                    <w:rPr>
                      <w:rFonts w:hint="default" w:ascii="Times New Roman" w:hAnsi="Times New Roman" w:eastAsia="宋体" w:cs="Times New Roman"/>
                      <w:color w:val="auto"/>
                      <w:kern w:val="0"/>
                      <w:sz w:val="21"/>
                      <w:szCs w:val="21"/>
                      <w:highlight w:val="none"/>
                      <w:lang w:eastAsia="zh-CN"/>
                    </w:rPr>
                    <w:t>屏障、低噪声</w:t>
                  </w:r>
                  <w:r>
                    <w:rPr>
                      <w:rFonts w:hint="default" w:ascii="Times New Roman" w:hAnsi="Times New Roman" w:eastAsia="宋体" w:cs="Times New Roman"/>
                      <w:color w:val="auto"/>
                      <w:kern w:val="0"/>
                      <w:sz w:val="21"/>
                      <w:szCs w:val="21"/>
                      <w:highlight w:val="none"/>
                    </w:rPr>
                    <w:t>施工机械</w:t>
                  </w:r>
                  <w:r>
                    <w:rPr>
                      <w:rFonts w:hint="default" w:ascii="Times New Roman" w:hAnsi="Times New Roman" w:eastAsia="宋体" w:cs="Times New Roman"/>
                      <w:color w:val="auto"/>
                      <w:kern w:val="0"/>
                      <w:sz w:val="21"/>
                      <w:szCs w:val="21"/>
                      <w:highlight w:val="none"/>
                      <w:lang w:eastAsia="zh-CN"/>
                    </w:rPr>
                    <w:t>、设备</w:t>
                  </w:r>
                  <w:r>
                    <w:rPr>
                      <w:rFonts w:hint="default" w:ascii="Times New Roman" w:hAnsi="Times New Roman" w:eastAsia="宋体" w:cs="Times New Roman"/>
                      <w:color w:val="auto"/>
                      <w:kern w:val="0"/>
                      <w:sz w:val="21"/>
                      <w:szCs w:val="21"/>
                      <w:highlight w:val="none"/>
                    </w:rPr>
                    <w:t>维护</w:t>
                  </w:r>
                  <w:r>
                    <w:rPr>
                      <w:rFonts w:hint="default" w:ascii="Times New Roman" w:hAnsi="Times New Roman" w:eastAsia="宋体" w:cs="Times New Roman"/>
                      <w:color w:val="auto"/>
                      <w:kern w:val="0"/>
                      <w:sz w:val="21"/>
                      <w:szCs w:val="21"/>
                      <w:highlight w:val="none"/>
                      <w:lang w:eastAsia="zh-CN"/>
                    </w:rPr>
                    <w:t>检修</w:t>
                  </w:r>
                </w:p>
              </w:tc>
              <w:tc>
                <w:tcPr>
                  <w:tcW w:w="1585" w:type="dxa"/>
                  <w:vAlign w:val="center"/>
                </w:tcPr>
                <w:p>
                  <w:pPr>
                    <w:pStyle w:val="18"/>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7" w:hRule="atLeast"/>
                <w:jc w:val="center"/>
              </w:trPr>
              <w:tc>
                <w:tcPr>
                  <w:tcW w:w="807" w:type="pct"/>
                  <w:vMerge w:val="continue"/>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运营期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路面养护、绿化种植养护、防护栏等</w:t>
                  </w:r>
                </w:p>
              </w:tc>
              <w:tc>
                <w:tcPr>
                  <w:tcW w:w="1585" w:type="dxa"/>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环境空气污染防治</w:t>
                  </w: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洒水</w:t>
                  </w:r>
                  <w:r>
                    <w:rPr>
                      <w:rFonts w:hint="default" w:ascii="Times New Roman" w:hAnsi="Times New Roman" w:eastAsia="宋体" w:cs="Times New Roman"/>
                      <w:color w:val="auto"/>
                      <w:kern w:val="0"/>
                      <w:sz w:val="21"/>
                      <w:szCs w:val="21"/>
                      <w:highlight w:val="none"/>
                      <w:lang w:eastAsia="zh-CN"/>
                    </w:rPr>
                    <w:t>抑尘</w:t>
                  </w:r>
                </w:p>
              </w:tc>
              <w:tc>
                <w:tcPr>
                  <w:tcW w:w="1585" w:type="dxa"/>
                  <w:vAlign w:val="center"/>
                </w:tcPr>
                <w:p>
                  <w:pPr>
                    <w:pStyle w:val="18"/>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Merge w:val="restar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水污染防治</w:t>
                  </w: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施工废水沉淀处理、</w:t>
                  </w:r>
                  <w:r>
                    <w:rPr>
                      <w:rFonts w:hint="default" w:ascii="Times New Roman" w:hAnsi="Times New Roman" w:eastAsia="宋体" w:cs="Times New Roman"/>
                      <w:color w:val="auto"/>
                      <w:kern w:val="0"/>
                      <w:sz w:val="21"/>
                      <w:szCs w:val="21"/>
                      <w:highlight w:val="none"/>
                      <w:lang w:eastAsia="zh-CN"/>
                    </w:rPr>
                    <w:t>洒</w:t>
                  </w:r>
                  <w:r>
                    <w:rPr>
                      <w:rFonts w:hint="default" w:ascii="Times New Roman" w:hAnsi="Times New Roman" w:eastAsia="宋体" w:cs="Times New Roman"/>
                      <w:color w:val="auto"/>
                      <w:kern w:val="0"/>
                      <w:sz w:val="21"/>
                      <w:szCs w:val="21"/>
                      <w:highlight w:val="none"/>
                    </w:rPr>
                    <w:t>水防护措施</w:t>
                  </w:r>
                </w:p>
              </w:tc>
              <w:tc>
                <w:tcPr>
                  <w:tcW w:w="1585" w:type="dxa"/>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Merge w:val="continue"/>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运营期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径流水收集、导排系统；工程防护措施；管理措施。</w:t>
                  </w:r>
                </w:p>
              </w:tc>
              <w:tc>
                <w:tcPr>
                  <w:tcW w:w="1585" w:type="dxa"/>
                  <w:vAlign w:val="center"/>
                </w:tcPr>
                <w:p>
                  <w:pPr>
                    <w:pStyle w:val="18"/>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固体废物</w:t>
                  </w: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建筑垃圾、施工人员生活垃圾委托处置</w:t>
                  </w:r>
                </w:p>
              </w:tc>
              <w:tc>
                <w:tcPr>
                  <w:tcW w:w="1585" w:type="dxa"/>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生态环境保护、恢复及建设</w:t>
                  </w:r>
                </w:p>
              </w:tc>
              <w:tc>
                <w:tcPr>
                  <w:tcW w:w="2274" w:type="pct"/>
                  <w:gridSpan w:val="2"/>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植被恢复措施、绿化</w:t>
                  </w:r>
                </w:p>
              </w:tc>
              <w:tc>
                <w:tcPr>
                  <w:tcW w:w="876" w:type="pct"/>
                  <w:vAlign w:val="center"/>
                </w:tcPr>
                <w:p>
                  <w:pPr>
                    <w:pStyle w:val="18"/>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环境管理</w:t>
                  </w:r>
                </w:p>
              </w:tc>
              <w:tc>
                <w:tcPr>
                  <w:tcW w:w="2274" w:type="pct"/>
                  <w:gridSpan w:val="2"/>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施工期及营运期环境管理计划实施、人员培训等</w:t>
                  </w:r>
                </w:p>
              </w:tc>
              <w:tc>
                <w:tcPr>
                  <w:tcW w:w="876"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监测费</w:t>
                  </w:r>
                </w:p>
              </w:tc>
              <w:tc>
                <w:tcPr>
                  <w:tcW w:w="2274" w:type="pct"/>
                  <w:gridSpan w:val="2"/>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施工期与营运期监测实施</w:t>
                  </w:r>
                </w:p>
              </w:tc>
              <w:tc>
                <w:tcPr>
                  <w:tcW w:w="876"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82" w:type="pct"/>
                  <w:gridSpan w:val="3"/>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总计</w:t>
                  </w:r>
                </w:p>
              </w:tc>
              <w:tc>
                <w:tcPr>
                  <w:tcW w:w="876"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Cs w:val="21"/>
                      <w:highlight w:val="none"/>
                      <w:lang w:val="en-US" w:eastAsia="zh-CN"/>
                    </w:rPr>
                    <w:t>900</w:t>
                  </w:r>
                </w:p>
              </w:tc>
              <w:tc>
                <w:tcPr>
                  <w:tcW w:w="1041"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eastAsia="宋体" w:cs="Times New Roman"/>
                      <w:color w:val="auto"/>
                      <w:szCs w:val="21"/>
                      <w:highlight w:val="none"/>
                      <w:lang w:val="en-US" w:eastAsia="zh-CN"/>
                    </w:rPr>
                    <w:t>462</w:t>
                  </w:r>
                </w:p>
              </w:tc>
            </w:tr>
          </w:tbl>
          <w:p>
            <w:pPr>
              <w:pStyle w:val="14"/>
              <w:rPr>
                <w:rStyle w:val="22"/>
                <w:rFonts w:hint="default" w:ascii="Times New Roman" w:hAnsi="Times New Roman" w:cs="Times New Roman"/>
                <w:color w:val="auto"/>
                <w:highlight w:val="none"/>
              </w:rPr>
            </w:pPr>
          </w:p>
          <w:p>
            <w:pPr>
              <w:rPr>
                <w:rStyle w:val="22"/>
                <w:rFonts w:hint="default" w:ascii="Times New Roman" w:hAnsi="Times New Roman" w:cs="Times New Roman"/>
                <w:color w:val="auto"/>
                <w:highlight w:val="none"/>
              </w:rPr>
            </w:pPr>
          </w:p>
          <w:p>
            <w:pPr>
              <w:pStyle w:val="2"/>
              <w:rPr>
                <w:rStyle w:val="22"/>
                <w:rFonts w:hint="default" w:ascii="Times New Roman" w:hAnsi="Times New Roman" w:cs="Times New Roman"/>
                <w:color w:val="auto"/>
                <w:highlight w:val="none"/>
              </w:rPr>
            </w:pPr>
          </w:p>
          <w:p>
            <w:pPr>
              <w:pStyle w:val="14"/>
              <w:rPr>
                <w:rStyle w:val="22"/>
                <w:rFonts w:hint="default" w:ascii="Times New Roman" w:hAnsi="Times New Roman" w:cs="Times New Roman"/>
                <w:color w:val="auto"/>
                <w:highlight w:val="none"/>
              </w:rPr>
            </w:pPr>
          </w:p>
          <w:p>
            <w:pPr>
              <w:rPr>
                <w:rStyle w:val="22"/>
                <w:rFonts w:hint="default" w:ascii="Times New Roman" w:hAnsi="Times New Roman" w:cs="Times New Roman"/>
                <w:color w:val="auto"/>
                <w:highlight w:val="none"/>
              </w:rPr>
            </w:pPr>
          </w:p>
          <w:p>
            <w:pPr>
              <w:pStyle w:val="2"/>
              <w:rPr>
                <w:rStyle w:val="22"/>
                <w:rFonts w:hint="default" w:ascii="Times New Roman" w:hAnsi="Times New Roman" w:cs="Times New Roman"/>
                <w:color w:val="auto"/>
                <w:highlight w:val="none"/>
              </w:rPr>
            </w:pPr>
          </w:p>
          <w:p>
            <w:pPr>
              <w:pStyle w:val="14"/>
              <w:rPr>
                <w:rStyle w:val="22"/>
                <w:rFonts w:hint="default" w:ascii="Times New Roman" w:hAnsi="Times New Roman" w:cs="Times New Roman"/>
                <w:color w:val="auto"/>
                <w:highlight w:val="none"/>
              </w:rPr>
            </w:pPr>
          </w:p>
          <w:p>
            <w:pPr>
              <w:rPr>
                <w:rStyle w:val="22"/>
                <w:rFonts w:hint="default" w:ascii="Times New Roman" w:hAnsi="Times New Roman" w:cs="Times New Roman"/>
                <w:color w:val="auto"/>
                <w:highlight w:val="none"/>
              </w:rPr>
            </w:pPr>
          </w:p>
          <w:p>
            <w:pPr>
              <w:pStyle w:val="2"/>
              <w:rPr>
                <w:rStyle w:val="22"/>
                <w:rFonts w:hint="default" w:ascii="Times New Roman" w:hAnsi="Times New Roman" w:cs="Times New Roman"/>
                <w:color w:val="auto"/>
                <w:highlight w:val="none"/>
              </w:rPr>
            </w:pPr>
          </w:p>
          <w:p>
            <w:pPr>
              <w:pStyle w:val="14"/>
              <w:rPr>
                <w:rStyle w:val="22"/>
                <w:rFonts w:hint="default" w:ascii="Times New Roman" w:hAnsi="Times New Roman" w:cs="Times New Roman"/>
                <w:color w:val="auto"/>
                <w:highlight w:val="none"/>
              </w:rPr>
            </w:pPr>
          </w:p>
          <w:p>
            <w:pPr>
              <w:rPr>
                <w:rStyle w:val="22"/>
                <w:rFonts w:hint="default" w:ascii="Times New Roman" w:hAnsi="Times New Roman" w:cs="Times New Roman"/>
                <w:color w:val="auto"/>
                <w:highlight w:val="none"/>
              </w:rPr>
            </w:pPr>
          </w:p>
          <w:p>
            <w:pPr>
              <w:pStyle w:val="2"/>
              <w:rPr>
                <w:rStyle w:val="22"/>
                <w:rFonts w:hint="default" w:ascii="Times New Roman" w:hAnsi="Times New Roman" w:cs="Times New Roman"/>
                <w:color w:val="auto"/>
                <w:highlight w:val="none"/>
              </w:rPr>
            </w:pPr>
          </w:p>
          <w:p>
            <w:pPr>
              <w:pStyle w:val="14"/>
              <w:rPr>
                <w:rFonts w:hint="default"/>
                <w:color w:val="auto"/>
                <w:highlight w:val="none"/>
              </w:rPr>
            </w:pPr>
          </w:p>
          <w:p>
            <w:pPr>
              <w:pStyle w:val="14"/>
              <w:rPr>
                <w:rFonts w:hint="default"/>
                <w:color w:val="auto"/>
                <w:highlight w:val="none"/>
              </w:rPr>
            </w:pPr>
          </w:p>
          <w:p>
            <w:pPr>
              <w:pStyle w:val="20"/>
              <w:spacing w:before="156" w:after="156"/>
              <w:ind w:firstLine="0" w:firstLineChars="0"/>
              <w:jc w:val="center"/>
              <w:rPr>
                <w:rFonts w:hint="default"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1" w:hRule="atLeast"/>
        </w:trPr>
        <w:tc>
          <w:tcPr>
            <w:tcW w:w="5000" w:type="pct"/>
            <w:gridSpan w:val="2"/>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与项目有关的生态破坏和污染物排放、主要环境问题及环境保护措施</w:t>
            </w:r>
          </w:p>
          <w:p>
            <w:pPr>
              <w:pStyle w:val="19"/>
              <w:ind w:firstLine="480"/>
              <w:rPr>
                <w:rFonts w:ascii="Times New Roman" w:hAnsi="Times New Roman" w:cs="Times New Roman"/>
                <w:color w:val="auto"/>
              </w:rPr>
            </w:pPr>
            <w:r>
              <w:rPr>
                <w:rFonts w:ascii="Times New Roman" w:hAnsi="Times New Roman" w:cs="Times New Roman"/>
                <w:color w:val="auto"/>
              </w:rPr>
              <w:t>一、施工期</w:t>
            </w:r>
          </w:p>
          <w:p>
            <w:pPr>
              <w:pStyle w:val="19"/>
              <w:ind w:firstLine="480"/>
              <w:rPr>
                <w:rFonts w:ascii="Times New Roman" w:hAnsi="Times New Roman" w:cs="Times New Roman"/>
              </w:rPr>
            </w:pPr>
            <w:r>
              <w:rPr>
                <w:rFonts w:ascii="Times New Roman" w:hAnsi="Times New Roman" w:cs="Times New Roman"/>
              </w:rPr>
              <w:t>施工期主要污染因子有：</w:t>
            </w:r>
          </w:p>
          <w:p>
            <w:pPr>
              <w:pStyle w:val="19"/>
              <w:numPr>
                <w:ilvl w:val="0"/>
                <w:numId w:val="5"/>
              </w:numPr>
              <w:ind w:firstLine="480"/>
              <w:rPr>
                <w:rFonts w:ascii="Times New Roman" w:hAnsi="Times New Roman" w:cs="Times New Roman"/>
              </w:rPr>
            </w:pPr>
            <w:r>
              <w:rPr>
                <w:rFonts w:ascii="Times New Roman" w:hAnsi="Times New Roman" w:cs="Times New Roman"/>
              </w:rPr>
              <w:t>废气</w:t>
            </w:r>
          </w:p>
          <w:p>
            <w:pPr>
              <w:pStyle w:val="19"/>
              <w:ind w:firstLine="480"/>
              <w:rPr>
                <w:rFonts w:ascii="Times New Roman" w:hAnsi="Times New Roman" w:cs="Times New Roman"/>
              </w:rPr>
            </w:pPr>
            <w:r>
              <w:rPr>
                <w:rFonts w:ascii="Times New Roman" w:hAnsi="Times New Roman" w:cs="Times New Roman"/>
              </w:rPr>
              <w:t>本项目大气污染物主要为施工扬尘</w:t>
            </w:r>
            <w:r>
              <w:rPr>
                <w:rFonts w:hint="eastAsia" w:ascii="Times New Roman" w:hAnsi="Times New Roman" w:cs="Times New Roman"/>
                <w:lang w:eastAsia="zh-CN"/>
              </w:rPr>
              <w:t>、</w:t>
            </w:r>
            <w:r>
              <w:rPr>
                <w:rFonts w:ascii="Times New Roman" w:hAnsi="Times New Roman" w:cs="Times New Roman"/>
              </w:rPr>
              <w:t>沥青烟气</w:t>
            </w:r>
            <w:r>
              <w:rPr>
                <w:rFonts w:hint="eastAsia" w:ascii="Times New Roman" w:hAnsi="Times New Roman" w:cs="Times New Roman"/>
                <w:lang w:val="en-US" w:eastAsia="zh-CN"/>
              </w:rPr>
              <w:t>与汽车尾气</w:t>
            </w:r>
            <w:r>
              <w:rPr>
                <w:rFonts w:ascii="Times New Roman" w:hAnsi="Times New Roman" w:cs="Times New Roman"/>
              </w:rPr>
              <w:t>。</w:t>
            </w:r>
          </w:p>
          <w:p>
            <w:pPr>
              <w:pStyle w:val="19"/>
              <w:ind w:firstLine="480"/>
              <w:rPr>
                <w:rFonts w:ascii="Times New Roman" w:hAnsi="Times New Roman" w:cs="Times New Roman"/>
              </w:rPr>
            </w:pPr>
            <w:r>
              <w:rPr>
                <w:rFonts w:ascii="Times New Roman" w:hAnsi="Times New Roman" w:cs="Times New Roman"/>
              </w:rPr>
              <w:t>在采取环评提出的以下措施：</w:t>
            </w:r>
            <w:r>
              <w:rPr>
                <w:rFonts w:hint="eastAsia" w:ascii="Times New Roman" w:hAnsi="Times New Roman" w:cs="Times New Roman"/>
              </w:rPr>
              <w:t>加强管理，文明施工，建筑材料轻装轻卸运输粉砂等易产生扬尘的车辆上应覆盖篷布</w:t>
            </w:r>
            <w:r>
              <w:rPr>
                <w:rFonts w:hint="eastAsia" w:ascii="Times New Roman" w:hAnsi="Times New Roman" w:cs="Times New Roman"/>
                <w:lang w:eastAsia="zh-CN"/>
              </w:rPr>
              <w:t>；</w:t>
            </w:r>
            <w:r>
              <w:rPr>
                <w:rFonts w:hint="eastAsia" w:ascii="Times New Roman" w:hAnsi="Times New Roman" w:cs="Times New Roman"/>
              </w:rPr>
              <w:t>临时堆放的土石方、砂料等表面必要时应</w:t>
            </w:r>
            <w:r>
              <w:rPr>
                <w:rFonts w:hint="eastAsia" w:ascii="Times New Roman" w:hAnsi="Times New Roman" w:cs="Times New Roman"/>
                <w:lang w:val="en-US" w:eastAsia="zh-CN"/>
              </w:rPr>
              <w:t>洒水</w:t>
            </w:r>
            <w:r>
              <w:rPr>
                <w:rFonts w:hint="eastAsia" w:ascii="Times New Roman" w:hAnsi="Times New Roman" w:cs="Times New Roman"/>
                <w:lang w:eastAsia="zh-CN"/>
              </w:rPr>
              <w:t>；</w:t>
            </w:r>
            <w:r>
              <w:rPr>
                <w:rFonts w:hint="eastAsia" w:ascii="Times New Roman" w:hAnsi="Times New Roman" w:cs="Times New Roman"/>
              </w:rPr>
              <w:t>用沥青拌和站预制好的沥青，现场只进行路面铺设。加强绿化建设，车辆排污要求符合有关汽车尾气排放标准</w:t>
            </w:r>
            <w:r>
              <w:rPr>
                <w:rFonts w:ascii="Times New Roman" w:hAnsi="Times New Roman" w:cs="Times New Roman"/>
              </w:rPr>
              <w:t>。</w:t>
            </w:r>
          </w:p>
          <w:p>
            <w:pPr>
              <w:pStyle w:val="19"/>
              <w:numPr>
                <w:ilvl w:val="0"/>
                <w:numId w:val="5"/>
              </w:numPr>
              <w:ind w:firstLine="480"/>
              <w:rPr>
                <w:rFonts w:ascii="Times New Roman" w:hAnsi="Times New Roman" w:cs="Times New Roman"/>
              </w:rPr>
            </w:pPr>
            <w:r>
              <w:rPr>
                <w:rFonts w:ascii="Times New Roman" w:hAnsi="Times New Roman" w:cs="Times New Roman"/>
              </w:rPr>
              <w:t>废水</w:t>
            </w:r>
          </w:p>
          <w:p>
            <w:pPr>
              <w:pStyle w:val="19"/>
              <w:ind w:firstLine="480"/>
              <w:rPr>
                <w:rFonts w:ascii="Times New Roman" w:hAnsi="Times New Roman" w:cs="Times New Roman"/>
              </w:rPr>
            </w:pPr>
            <w:r>
              <w:rPr>
                <w:rFonts w:ascii="Times New Roman" w:hAnsi="Times New Roman" w:cs="Times New Roman"/>
              </w:rPr>
              <w:t>本项目</w:t>
            </w:r>
            <w:r>
              <w:rPr>
                <w:rFonts w:hint="eastAsia" w:ascii="Times New Roman" w:hAnsi="Times New Roman" w:cs="Times New Roman"/>
                <w:lang w:val="en-US" w:eastAsia="zh-CN"/>
              </w:rPr>
              <w:t>水</w:t>
            </w:r>
            <w:r>
              <w:rPr>
                <w:rFonts w:ascii="Times New Roman" w:hAnsi="Times New Roman" w:cs="Times New Roman"/>
              </w:rPr>
              <w:t>污染物主要为</w:t>
            </w:r>
            <w:r>
              <w:rPr>
                <w:rFonts w:hint="eastAsia" w:ascii="Times New Roman" w:hAnsi="Times New Roman" w:cs="Times New Roman"/>
                <w:lang w:val="en-US" w:eastAsia="zh-CN"/>
              </w:rPr>
              <w:t>生活污水、雨污水与桥梁泥浆水</w:t>
            </w:r>
            <w:r>
              <w:rPr>
                <w:rFonts w:ascii="Times New Roman" w:hAnsi="Times New Roman" w:cs="Times New Roman"/>
              </w:rPr>
              <w:t>。</w:t>
            </w:r>
          </w:p>
          <w:p>
            <w:pPr>
              <w:pStyle w:val="19"/>
              <w:ind w:firstLine="480"/>
              <w:rPr>
                <w:rFonts w:ascii="Times New Roman" w:hAnsi="Times New Roman" w:cs="Times New Roman"/>
              </w:rPr>
            </w:pPr>
            <w:r>
              <w:rPr>
                <w:rFonts w:ascii="Times New Roman" w:hAnsi="Times New Roman" w:cs="Times New Roman"/>
              </w:rPr>
              <w:t>在采取环评提出的以下措施：</w:t>
            </w:r>
            <w:r>
              <w:rPr>
                <w:rFonts w:hint="eastAsia" w:ascii="Times New Roman" w:hAnsi="Times New Roman" w:cs="Times New Roman"/>
              </w:rPr>
              <w:t>建设好临时的生活设施，临时食堂的厨房废水设简易的隔油池</w:t>
            </w:r>
            <w:r>
              <w:rPr>
                <w:rFonts w:hint="eastAsia" w:ascii="Times New Roman" w:hAnsi="Times New Roman" w:cs="Times New Roman"/>
                <w:lang w:eastAsia="zh-CN"/>
              </w:rPr>
              <w:t>；</w:t>
            </w:r>
            <w:r>
              <w:rPr>
                <w:rFonts w:hint="eastAsia" w:ascii="Times New Roman" w:hAnsi="Times New Roman" w:cs="Times New Roman"/>
              </w:rPr>
              <w:t>设临时厕所、化粪池，</w:t>
            </w:r>
            <w:r>
              <w:rPr>
                <w:rFonts w:hint="eastAsia" w:ascii="Times New Roman" w:hAnsi="Times New Roman" w:cs="Times New Roman"/>
                <w:lang w:val="en-US" w:eastAsia="zh-CN"/>
              </w:rPr>
              <w:t>处理达标后纳管排放</w:t>
            </w:r>
            <w:r>
              <w:rPr>
                <w:rFonts w:hint="eastAsia" w:ascii="Times New Roman" w:hAnsi="Times New Roman" w:cs="Times New Roman"/>
              </w:rPr>
              <w:t>，也可以就近利用附近村庄的卫生设施。</w:t>
            </w:r>
            <w:r>
              <w:rPr>
                <w:rFonts w:hint="eastAsia" w:ascii="Times New Roman" w:hAnsi="Times New Roman" w:cs="Times New Roman"/>
                <w:lang w:val="en-US" w:eastAsia="zh-CN"/>
              </w:rPr>
              <w:t>桥梁泥浆水</w:t>
            </w:r>
            <w:r>
              <w:rPr>
                <w:rFonts w:hint="eastAsia" w:ascii="Times New Roman" w:hAnsi="Times New Roman" w:eastAsia="宋体" w:cs="Times New Roman"/>
                <w:lang w:val="en-US" w:eastAsia="zh-CN"/>
              </w:rPr>
              <w:t>经收集沉淀后上清液排放，</w:t>
            </w:r>
            <w:r>
              <w:rPr>
                <w:rFonts w:hint="eastAsia" w:ascii="Times New Roman" w:hAnsi="Times New Roman" w:cs="Times New Roman"/>
              </w:rPr>
              <w:t>堆泥干化后外运填埋或用于建设工程的填料。</w:t>
            </w:r>
          </w:p>
          <w:p>
            <w:pPr>
              <w:pStyle w:val="19"/>
              <w:numPr>
                <w:ilvl w:val="0"/>
                <w:numId w:val="5"/>
              </w:numPr>
              <w:ind w:firstLine="480"/>
              <w:rPr>
                <w:rFonts w:ascii="Times New Roman" w:hAnsi="Times New Roman" w:cs="Times New Roman"/>
              </w:rPr>
            </w:pPr>
            <w:r>
              <w:rPr>
                <w:rFonts w:ascii="Times New Roman" w:hAnsi="Times New Roman" w:cs="Times New Roman"/>
              </w:rPr>
              <w:t>固废</w:t>
            </w:r>
          </w:p>
          <w:p>
            <w:pPr>
              <w:pStyle w:val="19"/>
              <w:ind w:firstLine="480"/>
              <w:jc w:val="left"/>
              <w:rPr>
                <w:rFonts w:ascii="Times New Roman" w:hAnsi="Times New Roman" w:cs="Times New Roman"/>
              </w:rPr>
            </w:pPr>
            <w:r>
              <w:rPr>
                <w:rFonts w:ascii="Times New Roman" w:hAnsi="Times New Roman" w:cs="Times New Roman"/>
              </w:rPr>
              <w:t>项目施工期固体废物包括开挖土石方、废建筑材料和施工人员生活垃圾。</w:t>
            </w:r>
          </w:p>
          <w:p>
            <w:pPr>
              <w:pStyle w:val="19"/>
              <w:ind w:firstLine="480"/>
              <w:jc w:val="left"/>
              <w:rPr>
                <w:rFonts w:ascii="Times New Roman" w:hAnsi="Times New Roman" w:cs="Times New Roman"/>
              </w:rPr>
            </w:pPr>
            <w:r>
              <w:rPr>
                <w:rFonts w:hint="eastAsia" w:ascii="Times New Roman" w:hAnsi="Times New Roman" w:cs="Times New Roman"/>
              </w:rPr>
              <w:t>生活垃圾避雨集中堆放，委托环卫部门及时运走处置</w:t>
            </w:r>
            <w:r>
              <w:rPr>
                <w:rFonts w:hint="eastAsia" w:ascii="Times New Roman" w:hAnsi="Times New Roman" w:cs="Times New Roman"/>
                <w:lang w:eastAsia="zh-CN"/>
              </w:rPr>
              <w:t>；</w:t>
            </w:r>
            <w:r>
              <w:rPr>
                <w:rFonts w:hint="eastAsia" w:ascii="Times New Roman" w:hAnsi="Times New Roman" w:cs="Times New Roman"/>
              </w:rPr>
              <w:t>用路基挖方作为填筑材料，及时进行运输平衡</w:t>
            </w:r>
            <w:r>
              <w:rPr>
                <w:rFonts w:hint="eastAsia" w:ascii="Times New Roman" w:hAnsi="Times New Roman" w:eastAsia="宋体" w:cs="Times New Roman"/>
                <w:lang w:eastAsia="zh-CN"/>
              </w:rPr>
              <w:t>；</w:t>
            </w:r>
            <w:r>
              <w:rPr>
                <w:rFonts w:hint="eastAsia" w:ascii="Times New Roman" w:hAnsi="Times New Roman" w:eastAsia="宋体" w:cs="Times New Roman"/>
              </w:rPr>
              <w:t>建筑垃圾及时清运，送指定</w:t>
            </w:r>
            <w:r>
              <w:rPr>
                <w:rFonts w:hint="eastAsia" w:ascii="Times New Roman" w:hAnsi="Times New Roman" w:cs="Times New Roman"/>
              </w:rPr>
              <w:t>地点妥善处置。</w:t>
            </w:r>
          </w:p>
          <w:p>
            <w:pPr>
              <w:pStyle w:val="19"/>
              <w:numPr>
                <w:ilvl w:val="0"/>
                <w:numId w:val="5"/>
              </w:numPr>
              <w:ind w:firstLine="480"/>
              <w:jc w:val="left"/>
              <w:rPr>
                <w:rFonts w:ascii="Times New Roman" w:hAnsi="Times New Roman" w:cs="Times New Roman"/>
              </w:rPr>
            </w:pPr>
            <w:r>
              <w:rPr>
                <w:rFonts w:ascii="Times New Roman" w:hAnsi="Times New Roman" w:cs="Times New Roman"/>
              </w:rPr>
              <w:t>噪声</w:t>
            </w:r>
          </w:p>
          <w:p>
            <w:pPr>
              <w:pStyle w:val="19"/>
              <w:ind w:firstLine="480"/>
              <w:rPr>
                <w:rFonts w:ascii="Times New Roman" w:hAnsi="Times New Roman" w:cs="Times New Roman"/>
                <w:color w:val="FF0000"/>
              </w:rPr>
            </w:pPr>
            <w:r>
              <w:rPr>
                <w:rFonts w:hint="eastAsia" w:ascii="Times New Roman" w:hAnsi="Times New Roman" w:cs="Times New Roman"/>
              </w:rPr>
              <w:t>对施工期的噪声要求采用低噪声工艺，文明生产，距居民住宅200m内的路段夜间禁止进行对居民生活环境产生噪声污染的施工作业。搞好沿线规划，尽早实施道路两侧的公共绿地和防护绿地建设，以美化路容，吸音降噪，保护环境。提高道路施工质量，加强路面保养</w:t>
            </w:r>
            <w:r>
              <w:rPr>
                <w:rFonts w:hint="eastAsia" w:ascii="Times New Roman" w:hAnsi="Times New Roman" w:cs="Times New Roman"/>
                <w:lang w:eastAsia="zh-CN"/>
              </w:rPr>
              <w:t>：</w:t>
            </w:r>
            <w:r>
              <w:rPr>
                <w:rFonts w:hint="eastAsia" w:ascii="Times New Roman" w:hAnsi="Times New Roman" w:cs="Times New Roman"/>
              </w:rPr>
              <w:t>设置交通标志、标线等设施</w:t>
            </w:r>
            <w:r>
              <w:rPr>
                <w:rFonts w:hint="eastAsia" w:ascii="Times New Roman" w:hAnsi="Times New Roman" w:cs="Times New Roman"/>
                <w:lang w:eastAsia="zh-CN"/>
              </w:rPr>
              <w:t>，</w:t>
            </w:r>
            <w:r>
              <w:rPr>
                <w:rFonts w:hint="eastAsia" w:ascii="Times New Roman" w:hAnsi="Times New Roman" w:cs="Times New Roman"/>
              </w:rPr>
              <w:t>禁止鸣号</w:t>
            </w:r>
            <w:r>
              <w:rPr>
                <w:rFonts w:hint="eastAsia" w:ascii="Times New Roman" w:hAnsi="Times New Roman" w:cs="Times New Roman"/>
                <w:lang w:eastAsia="zh-CN"/>
              </w:rPr>
              <w:t>。</w:t>
            </w:r>
          </w:p>
          <w:p>
            <w:pPr>
              <w:pStyle w:val="19"/>
              <w:ind w:firstLine="480"/>
              <w:rPr>
                <w:rFonts w:ascii="Times New Roman" w:hAnsi="Times New Roman" w:cs="Times New Roman"/>
              </w:rPr>
            </w:pPr>
            <w:r>
              <w:rPr>
                <w:rFonts w:ascii="Times New Roman" w:hAnsi="Times New Roman" w:cs="Times New Roman"/>
              </w:rPr>
              <w:t>二、营运期</w:t>
            </w:r>
          </w:p>
          <w:p>
            <w:pPr>
              <w:pStyle w:val="19"/>
              <w:ind w:firstLine="480"/>
              <w:rPr>
                <w:rFonts w:ascii="Times New Roman" w:hAnsi="Times New Roman" w:cs="Times New Roman"/>
              </w:rPr>
            </w:pPr>
            <w:r>
              <w:rPr>
                <w:rFonts w:ascii="Times New Roman" w:hAnsi="Times New Roman" w:cs="Times New Roman"/>
              </w:rPr>
              <w:t>（1）废气</w:t>
            </w:r>
          </w:p>
          <w:p>
            <w:pPr>
              <w:pStyle w:val="19"/>
              <w:ind w:firstLine="480"/>
              <w:rPr>
                <w:rFonts w:ascii="Times New Roman" w:hAnsi="Times New Roman" w:cs="Times New Roman"/>
              </w:rPr>
            </w:pPr>
            <w:r>
              <w:rPr>
                <w:rFonts w:ascii="Times New Roman" w:hAnsi="Times New Roman" w:cs="Times New Roman"/>
                <w:kern w:val="0"/>
              </w:rPr>
              <w:t>营运期废气主要为通行车辆尾气。</w:t>
            </w:r>
          </w:p>
          <w:p>
            <w:pPr>
              <w:pStyle w:val="19"/>
              <w:ind w:firstLine="480"/>
              <w:rPr>
                <w:rFonts w:ascii="Times New Roman" w:hAnsi="Times New Roman" w:cs="Times New Roman"/>
              </w:rPr>
            </w:pPr>
            <w:r>
              <w:rPr>
                <w:rFonts w:ascii="Times New Roman" w:hAnsi="Times New Roman" w:cs="Times New Roman"/>
              </w:rPr>
              <w:t>加强道路管理及路面防护，保持道路良好运行状态，减少和避免塞车现象发生；对路线上机动车辆进行监测，超标车辆禁止上路；道路沿线进行绿化，并做好绿化工程的维护工作。</w:t>
            </w:r>
          </w:p>
          <w:p>
            <w:pPr>
              <w:pStyle w:val="19"/>
              <w:ind w:firstLine="480"/>
              <w:rPr>
                <w:rFonts w:ascii="Times New Roman" w:hAnsi="Times New Roman" w:cs="Times New Roman"/>
              </w:rPr>
            </w:pPr>
            <w:r>
              <w:rPr>
                <w:rFonts w:ascii="Times New Roman" w:hAnsi="Times New Roman" w:cs="Times New Roman"/>
              </w:rPr>
              <w:t>（2）废水</w:t>
            </w:r>
          </w:p>
          <w:p>
            <w:pPr>
              <w:pStyle w:val="19"/>
              <w:ind w:firstLine="480"/>
              <w:rPr>
                <w:rFonts w:ascii="Times New Roman" w:hAnsi="Times New Roman" w:cs="Times New Roman"/>
              </w:rPr>
            </w:pPr>
            <w:r>
              <w:rPr>
                <w:rFonts w:ascii="Times New Roman" w:hAnsi="Times New Roman" w:cs="Times New Roman"/>
              </w:rPr>
              <w:t>本项目建设道路路线较短，不设集中式的生活服务区、收费站等，因此营运期无生活污水产生。营运期沿线水环境污染源主要是由于降雨冲刷路面产生的路面径流汇水，本项目雨水出路按就近、合理排入水体的原则，收集道路及两侧地块雨水，通过雨水井就近排入附近河道。</w:t>
            </w:r>
          </w:p>
          <w:p>
            <w:pPr>
              <w:pStyle w:val="19"/>
              <w:ind w:firstLine="480"/>
              <w:rPr>
                <w:rFonts w:ascii="Times New Roman" w:hAnsi="Times New Roman" w:cs="Times New Roman"/>
              </w:rPr>
            </w:pPr>
            <w:r>
              <w:rPr>
                <w:rFonts w:ascii="Times New Roman" w:hAnsi="Times New Roman" w:cs="Times New Roman"/>
              </w:rPr>
              <w:t>（3）噪声</w:t>
            </w:r>
          </w:p>
          <w:p>
            <w:pPr>
              <w:pStyle w:val="19"/>
              <w:ind w:firstLine="480"/>
              <w:rPr>
                <w:rFonts w:ascii="Times New Roman" w:hAnsi="Times New Roman" w:cs="Times New Roman"/>
              </w:rPr>
            </w:pPr>
            <w:r>
              <w:rPr>
                <w:rFonts w:ascii="Times New Roman" w:hAnsi="Times New Roman" w:cs="Times New Roman"/>
              </w:rPr>
              <w:t>①道路两边绿化根据当地自然条件选择枝叶繁茂、生长迅速的常绿植物。</w:t>
            </w:r>
          </w:p>
          <w:p>
            <w:pPr>
              <w:pStyle w:val="19"/>
              <w:ind w:firstLine="480"/>
              <w:rPr>
                <w:rFonts w:ascii="Times New Roman" w:hAnsi="Times New Roman" w:cs="Times New Roman"/>
              </w:rPr>
            </w:pPr>
            <w:r>
              <w:rPr>
                <w:rFonts w:ascii="Times New Roman" w:hAnsi="Times New Roman" w:cs="Times New Roman"/>
              </w:rPr>
              <w:t>②采用交通管理手段，控制车速，禁止鸣号，在敏感点采取限鸣、限速等措施，例如减速带等。</w:t>
            </w:r>
          </w:p>
          <w:p>
            <w:pPr>
              <w:pStyle w:val="19"/>
              <w:ind w:firstLine="480"/>
              <w:rPr>
                <w:rFonts w:ascii="Times New Roman" w:hAnsi="Times New Roman" w:cs="Times New Roman"/>
              </w:rPr>
            </w:pPr>
            <w:r>
              <w:rPr>
                <w:rFonts w:ascii="Times New Roman" w:hAnsi="Times New Roman" w:cs="Times New Roman"/>
              </w:rPr>
              <w:t>③路政部门加强道路日常维护，提高路面平整度，发现路面破损及时修复，防止因路面破损引起车辆颠簸，造成噪声强度增加。</w:t>
            </w:r>
          </w:p>
          <w:p>
            <w:pPr>
              <w:pStyle w:val="19"/>
              <w:ind w:firstLine="480"/>
              <w:rPr>
                <w:rFonts w:ascii="Times New Roman" w:hAnsi="Times New Roman" w:cs="Times New Roman"/>
              </w:rPr>
            </w:pPr>
            <w:r>
              <w:rPr>
                <w:rFonts w:ascii="Times New Roman" w:hAnsi="Times New Roman" w:cs="Times New Roman"/>
              </w:rPr>
              <w:t>（4）固废</w:t>
            </w:r>
          </w:p>
          <w:p>
            <w:pPr>
              <w:pStyle w:val="19"/>
              <w:ind w:firstLine="480"/>
              <w:rPr>
                <w:rFonts w:hint="default" w:ascii="Times New Roman" w:hAnsi="Times New Roman" w:cs="Times New Roman"/>
                <w:color w:val="auto"/>
                <w:highlight w:val="none"/>
              </w:rPr>
            </w:pPr>
            <w:r>
              <w:rPr>
                <w:rFonts w:ascii="Times New Roman" w:hAnsi="Times New Roman" w:cs="Times New Roman"/>
                <w:sz w:val="24"/>
              </w:rPr>
              <w:t>生活垃圾由当地环卫部门清扫收集，统一清运处理。</w:t>
            </w:r>
          </w:p>
          <w:p>
            <w:pPr>
              <w:ind w:firstLine="482" w:firstLineChars="200"/>
              <w:rPr>
                <w:rFonts w:hint="default" w:ascii="Times New Roman" w:hAnsi="Times New Roman" w:cs="Times New Roman"/>
                <w:b/>
                <w:bCs/>
                <w:color w:val="auto"/>
                <w:sz w:val="24"/>
                <w:highlight w:val="none"/>
              </w:rPr>
            </w:pPr>
          </w:p>
        </w:tc>
      </w:tr>
    </w:tbl>
    <w:p>
      <w:pPr>
        <w:pStyle w:val="3"/>
        <w:rPr>
          <w:rFonts w:hint="default" w:ascii="Times New Roman" w:hAnsi="Times New Roman" w:cs="Times New Roman"/>
          <w:color w:val="auto"/>
          <w:highlight w:val="none"/>
        </w:rPr>
      </w:pPr>
      <w:bookmarkStart w:id="4" w:name="_Toc14505"/>
      <w:r>
        <w:rPr>
          <w:rFonts w:hint="default" w:ascii="Times New Roman" w:hAnsi="Times New Roman" w:cs="Times New Roman"/>
          <w:color w:val="auto"/>
          <w:highlight w:val="none"/>
        </w:rPr>
        <w:t>5 环境影响评价回顾</w:t>
      </w:r>
      <w:bookmarkEnd w:id="4"/>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2" w:hRule="atLeast"/>
        </w:trPr>
        <w:tc>
          <w:tcPr>
            <w:tcW w:w="8522" w:type="dxa"/>
          </w:tcPr>
          <w:p>
            <w:pP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环境影响评价的主要环境影响预测及结论（生态、声、大气、水、振动、电磁、固体废物等）</w:t>
            </w:r>
          </w:p>
          <w:p>
            <w:pPr>
              <w:pStyle w:val="19"/>
              <w:ind w:firstLine="480"/>
              <w:rPr>
                <w:rFonts w:hint="eastAsia" w:ascii="Times New Roman" w:hAnsi="Times New Roman" w:eastAsia="宋体" w:cs="Times New Roman"/>
                <w:sz w:val="24"/>
                <w:lang w:eastAsia="zh-CN"/>
              </w:rPr>
            </w:pPr>
            <w:r>
              <w:rPr>
                <w:rFonts w:hint="default" w:ascii="Times New Roman" w:hAnsi="Times New Roman" w:cs="Times New Roman"/>
                <w:sz w:val="24"/>
              </w:rPr>
              <w:t>为了进一步完善余姚市路网布局，改善四明山区对外交通，促进沿线区域经济和社发展，根据宁波市发展计划委员会批复，计划建设余姚市余梁公路北延工程项目。本页目的建成，能促进区域经济的发展，加快余姚市城市化进程，缩小城乡差别，同时能足进区域旅游事业发展。但项目建设过程及营运期会给周围环境带来一定的影响，通过理安排施工并采取一定的环境保护措施，可将影响减轻至最低程度，做到环境效益、土会效益和经济效益的协调发展。有关结论与建议如下</w:t>
            </w:r>
            <w:r>
              <w:rPr>
                <w:rFonts w:hint="eastAsia" w:ascii="Times New Roman" w:hAnsi="Times New Roman" w:cs="Times New Roman"/>
                <w:sz w:val="24"/>
                <w:lang w:eastAsia="zh-CN"/>
              </w:rPr>
              <w:t>：</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w:t>
            </w:r>
            <w:r>
              <w:rPr>
                <w:rFonts w:hint="eastAsia" w:ascii="Times New Roman" w:hAnsi="Times New Roman" w:cs="Times New Roman"/>
                <w:sz w:val="24"/>
                <w:lang w:eastAsia="zh-CN"/>
              </w:rPr>
              <w:t>）</w:t>
            </w:r>
            <w:r>
              <w:rPr>
                <w:rFonts w:hint="default" w:ascii="Times New Roman" w:hAnsi="Times New Roman" w:cs="Times New Roman"/>
                <w:sz w:val="24"/>
              </w:rPr>
              <w:t>、本项目起自谭家岭西路与余梁公路交叉口，终点在东连接线与梁周线交叉口，全线按具有集散功能的一级公路设计标准，设计速度为80km/h</w:t>
            </w:r>
            <w:r>
              <w:rPr>
                <w:rFonts w:hint="eastAsia" w:ascii="Times New Roman" w:hAnsi="Times New Roman" w:cs="Times New Roman"/>
                <w:sz w:val="24"/>
                <w:lang w:eastAsia="zh-CN"/>
              </w:rPr>
              <w:t>，</w:t>
            </w:r>
            <w:r>
              <w:rPr>
                <w:rFonts w:hint="default" w:ascii="Times New Roman" w:hAnsi="Times New Roman" w:cs="Times New Roman"/>
                <w:sz w:val="24"/>
              </w:rPr>
              <w:t>三来三去六车道，中间殳分隔带。推荐路线总里程8.192km</w:t>
            </w:r>
            <w:r>
              <w:rPr>
                <w:rFonts w:hint="eastAsia" w:ascii="Times New Roman" w:hAnsi="Times New Roman" w:cs="Times New Roman"/>
                <w:sz w:val="24"/>
                <w:lang w:eastAsia="zh-CN"/>
              </w:rPr>
              <w:t>，</w:t>
            </w:r>
            <w:r>
              <w:rPr>
                <w:rFonts w:hint="default" w:ascii="Times New Roman" w:hAnsi="Times New Roman" w:cs="Times New Roman"/>
                <w:sz w:val="24"/>
              </w:rPr>
              <w:t>其中大桥1座，中、小桥6座，涵洞35道，隧道1坚580m长，下穿铁路立交1处，路基填方37.7万m，路基挖方31.3万m，软基处理1.68km，沥青砼路面21.7万㎡</w:t>
            </w:r>
            <w:r>
              <w:rPr>
                <w:rFonts w:hint="eastAsia" w:ascii="Times New Roman" w:hAnsi="Times New Roman" w:cs="Times New Roman"/>
                <w:sz w:val="24"/>
                <w:lang w:eastAsia="zh-CN"/>
              </w:rPr>
              <w:t>，</w:t>
            </w:r>
            <w:r>
              <w:rPr>
                <w:rFonts w:hint="default" w:ascii="Times New Roman" w:hAnsi="Times New Roman" w:cs="Times New Roman"/>
                <w:sz w:val="24"/>
              </w:rPr>
              <w:t>水泥砼路面0.7万㎡。</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2</w:t>
            </w:r>
            <w:r>
              <w:rPr>
                <w:rFonts w:hint="eastAsia" w:ascii="Times New Roman" w:hAnsi="Times New Roman" w:cs="Times New Roman"/>
                <w:sz w:val="24"/>
                <w:lang w:eastAsia="zh-CN"/>
              </w:rPr>
              <w:t>）</w:t>
            </w:r>
            <w:r>
              <w:rPr>
                <w:rFonts w:hint="default" w:ascii="Times New Roman" w:hAnsi="Times New Roman" w:cs="Times New Roman"/>
                <w:sz w:val="24"/>
              </w:rPr>
              <w:t>、本工程建设需占用大量农田，并涉及房屋拆迁等。农田的占用将减少耕地面积和经济收入，改变原有的生态环境</w:t>
            </w:r>
            <w:r>
              <w:rPr>
                <w:rFonts w:hint="eastAsia" w:ascii="Times New Roman" w:hAnsi="Times New Roman" w:cs="Times New Roman"/>
                <w:sz w:val="24"/>
                <w:lang w:eastAsia="zh-CN"/>
              </w:rPr>
              <w:t>；</w:t>
            </w:r>
            <w:r>
              <w:rPr>
                <w:rFonts w:hint="default" w:ascii="Times New Roman" w:hAnsi="Times New Roman" w:cs="Times New Roman"/>
                <w:sz w:val="24"/>
              </w:rPr>
              <w:t>房屋拆迁给当地居民生产生活带来了不便，并告成一定的经济损失和不利影响。</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3</w:t>
            </w:r>
            <w:r>
              <w:rPr>
                <w:rFonts w:hint="eastAsia" w:ascii="Times New Roman" w:hAnsi="Times New Roman" w:cs="Times New Roman"/>
                <w:sz w:val="24"/>
                <w:lang w:eastAsia="zh-CN"/>
              </w:rPr>
              <w:t>）</w:t>
            </w:r>
            <w:r>
              <w:rPr>
                <w:rFonts w:hint="default" w:ascii="Times New Roman" w:hAnsi="Times New Roman" w:cs="Times New Roman"/>
                <w:sz w:val="24"/>
              </w:rPr>
              <w:t>、由于工程开挖，引起表面植被损坏，使裸地在雨水的冲刷下容易引起水土流夫，从而带走土壤表层的营养元素，降低土壤肥力，直接影响当地农业经济作物的发展。为防止水土流失，应做好路基、边坡地、桥梁、临时占地、弃渣场的防护工程。</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4</w:t>
            </w:r>
            <w:r>
              <w:rPr>
                <w:rFonts w:hint="eastAsia" w:ascii="Times New Roman" w:hAnsi="Times New Roman" w:cs="Times New Roman"/>
                <w:sz w:val="24"/>
                <w:lang w:eastAsia="zh-CN"/>
              </w:rPr>
              <w:t>）</w:t>
            </w:r>
            <w:r>
              <w:rPr>
                <w:rFonts w:hint="default" w:ascii="Times New Roman" w:hAnsi="Times New Roman" w:cs="Times New Roman"/>
                <w:sz w:val="24"/>
              </w:rPr>
              <w:t>、临时堆放场应选择较平整的场地，不易引起水土流失，且场地使用后应恢复植被</w:t>
            </w:r>
            <w:r>
              <w:rPr>
                <w:rFonts w:hint="eastAsia" w:ascii="Times New Roman" w:hAnsi="Times New Roman" w:cs="Times New Roman"/>
                <w:sz w:val="24"/>
                <w:lang w:eastAsia="zh-CN"/>
              </w:rPr>
              <w:t>；</w:t>
            </w:r>
            <w:r>
              <w:rPr>
                <w:rFonts w:hint="default" w:ascii="Times New Roman" w:hAnsi="Times New Roman" w:cs="Times New Roman"/>
                <w:sz w:val="24"/>
              </w:rPr>
              <w:t>砂石材料可尽量向当地大型料场购买，不要随意开挖山坡和河道。</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5</w:t>
            </w:r>
            <w:r>
              <w:rPr>
                <w:rFonts w:hint="eastAsia" w:ascii="Times New Roman" w:hAnsi="Times New Roman" w:cs="Times New Roman"/>
                <w:sz w:val="24"/>
                <w:lang w:eastAsia="zh-CN"/>
              </w:rPr>
              <w:t>）</w:t>
            </w:r>
            <w:r>
              <w:rPr>
                <w:rFonts w:hint="default" w:ascii="Times New Roman" w:hAnsi="Times New Roman" w:cs="Times New Roman"/>
                <w:sz w:val="24"/>
              </w:rPr>
              <w:t>、施工人员的活动营地应选择在对环境影响较小的地区，施工竣工后要求施工单位清理驻地、预制场和施工现场，清除建筑垃圾，搬走多余材料及机械，还场地以洁净。</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6</w:t>
            </w:r>
            <w:r>
              <w:rPr>
                <w:rFonts w:hint="eastAsia" w:ascii="Times New Roman" w:hAnsi="Times New Roman" w:cs="Times New Roman"/>
                <w:sz w:val="24"/>
                <w:lang w:eastAsia="zh-CN"/>
              </w:rPr>
              <w:t>）</w:t>
            </w:r>
            <w:r>
              <w:rPr>
                <w:rFonts w:hint="default" w:ascii="Times New Roman" w:hAnsi="Times New Roman" w:cs="Times New Roman"/>
                <w:sz w:val="24"/>
              </w:rPr>
              <w:t>、施工人员产生的废水废渣要妥善处理，不得随意丢弃排放</w:t>
            </w:r>
            <w:r>
              <w:rPr>
                <w:rFonts w:hint="eastAsia" w:ascii="Times New Roman" w:hAnsi="Times New Roman" w:cs="Times New Roman"/>
                <w:sz w:val="24"/>
                <w:lang w:eastAsia="zh-CN"/>
              </w:rPr>
              <w:t>；</w:t>
            </w:r>
            <w:r>
              <w:rPr>
                <w:rFonts w:hint="default" w:ascii="Times New Roman" w:hAnsi="Times New Roman" w:cs="Times New Roman"/>
                <w:sz w:val="24"/>
              </w:rPr>
              <w:t>应建设好临时的生活设施，临时食堂的厨房废水设简易的隔油池</w:t>
            </w:r>
            <w:r>
              <w:rPr>
                <w:rFonts w:hint="eastAsia" w:ascii="Times New Roman" w:hAnsi="Times New Roman" w:cs="Times New Roman"/>
                <w:sz w:val="24"/>
                <w:lang w:eastAsia="zh-CN"/>
              </w:rPr>
              <w:t>；</w:t>
            </w:r>
            <w:r>
              <w:rPr>
                <w:rFonts w:hint="default" w:ascii="Times New Roman" w:hAnsi="Times New Roman" w:cs="Times New Roman"/>
                <w:sz w:val="24"/>
              </w:rPr>
              <w:t>设临时厕所、化粪池，委托当地农民定期清运作农肥，或委托当地环卫部门收集处置，也可以就近利用附近村庄的卫生设施。</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7</w:t>
            </w:r>
            <w:r>
              <w:rPr>
                <w:rFonts w:hint="eastAsia" w:ascii="Times New Roman" w:hAnsi="Times New Roman" w:cs="Times New Roman"/>
                <w:sz w:val="24"/>
                <w:lang w:eastAsia="zh-CN"/>
              </w:rPr>
              <w:t>）</w:t>
            </w:r>
            <w:r>
              <w:rPr>
                <w:rFonts w:hint="default" w:ascii="Times New Roman" w:hAnsi="Times New Roman" w:cs="Times New Roman"/>
                <w:sz w:val="24"/>
              </w:rPr>
              <w:t>、加强管理，文明施工，建筑材料轻装轻卸</w:t>
            </w:r>
            <w:r>
              <w:rPr>
                <w:rFonts w:hint="eastAsia" w:ascii="Times New Roman" w:hAnsi="Times New Roman" w:cs="Times New Roman"/>
                <w:sz w:val="24"/>
                <w:lang w:eastAsia="zh-CN"/>
              </w:rPr>
              <w:t>；</w:t>
            </w:r>
            <w:r>
              <w:rPr>
                <w:rFonts w:hint="default" w:ascii="Times New Roman" w:hAnsi="Times New Roman" w:cs="Times New Roman"/>
                <w:sz w:val="24"/>
              </w:rPr>
              <w:t>运输粉砂等易产生扬尘的车辆上应覆盖篷布</w:t>
            </w:r>
            <w:r>
              <w:rPr>
                <w:rFonts w:hint="eastAsia" w:ascii="Times New Roman" w:hAnsi="Times New Roman" w:cs="Times New Roman"/>
                <w:sz w:val="24"/>
                <w:lang w:eastAsia="zh-CN"/>
              </w:rPr>
              <w:t>；</w:t>
            </w:r>
            <w:r>
              <w:rPr>
                <w:rFonts w:hint="default" w:ascii="Times New Roman" w:hAnsi="Times New Roman" w:cs="Times New Roman"/>
                <w:sz w:val="24"/>
              </w:rPr>
              <w:t>临时堆放的土石方、砂料等表面必要时应酒水</w:t>
            </w:r>
            <w:r>
              <w:rPr>
                <w:rFonts w:hint="eastAsia" w:ascii="Times New Roman" w:hAnsi="Times New Roman" w:cs="Times New Roman"/>
                <w:sz w:val="24"/>
                <w:lang w:eastAsia="zh-CN"/>
              </w:rPr>
              <w:t>；</w:t>
            </w:r>
            <w:r>
              <w:rPr>
                <w:rFonts w:hint="default" w:ascii="Times New Roman" w:hAnsi="Times New Roman" w:cs="Times New Roman"/>
                <w:sz w:val="24"/>
              </w:rPr>
              <w:t>沥青熔化必须在沥青搅拌厂进行，现场只进行路面铺设。</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8</w:t>
            </w:r>
            <w:r>
              <w:rPr>
                <w:rFonts w:hint="eastAsia" w:ascii="Times New Roman" w:hAnsi="Times New Roman" w:cs="Times New Roman"/>
                <w:sz w:val="24"/>
                <w:lang w:eastAsia="zh-CN"/>
              </w:rPr>
              <w:t>）</w:t>
            </w:r>
            <w:r>
              <w:rPr>
                <w:rFonts w:hint="default" w:ascii="Times New Roman" w:hAnsi="Times New Roman" w:cs="Times New Roman"/>
                <w:sz w:val="24"/>
              </w:rPr>
              <w:t>、施工期雨污水、桥梁泥浆水经收集沉淀后上清液排放，堆泥干化后外运填埋或用于建设工程的填料。</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9</w:t>
            </w:r>
            <w:r>
              <w:rPr>
                <w:rFonts w:hint="eastAsia" w:ascii="Times New Roman" w:hAnsi="Times New Roman" w:cs="Times New Roman"/>
                <w:sz w:val="24"/>
                <w:lang w:eastAsia="zh-CN"/>
              </w:rPr>
              <w:t>）</w:t>
            </w:r>
            <w:r>
              <w:rPr>
                <w:rFonts w:hint="default" w:ascii="Times New Roman" w:hAnsi="Times New Roman" w:cs="Times New Roman"/>
                <w:sz w:val="24"/>
              </w:rPr>
              <w:t>、施工期的噪声要求采用低噪声工艺，文明生产。由于隧道口爆破处距村庄较近，因此拟优化施工方案，尽量减少爆破作业</w:t>
            </w:r>
            <w:r>
              <w:rPr>
                <w:rFonts w:hint="eastAsia" w:ascii="Times New Roman" w:hAnsi="Times New Roman" w:cs="Times New Roman"/>
                <w:sz w:val="24"/>
                <w:lang w:eastAsia="zh-CN"/>
              </w:rPr>
              <w:t>；</w:t>
            </w:r>
            <w:r>
              <w:rPr>
                <w:rFonts w:hint="default" w:ascii="Times New Roman" w:hAnsi="Times New Roman" w:cs="Times New Roman"/>
                <w:sz w:val="24"/>
              </w:rPr>
              <w:t>起爆前后及时发出信号，并将其意义通知现场人员及当地居民，并在爆破危险区的边界应设立警戒哨和警告标志，在附近的村庄、道路边缘设立警告牌。距居民住宅200m内的路段夜间禁止进行对居民生活环境产生噪声污染的施工作业。如有特殊原因需夜间作业的，必须有县级以上人民政府或其有关主管部门的证明。</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10</w:t>
            </w:r>
            <w:r>
              <w:rPr>
                <w:rFonts w:hint="eastAsia" w:ascii="Times New Roman" w:hAnsi="Times New Roman" w:cs="Times New Roman"/>
                <w:sz w:val="24"/>
                <w:lang w:eastAsia="zh-CN"/>
              </w:rPr>
              <w:t>）</w:t>
            </w:r>
            <w:r>
              <w:rPr>
                <w:rFonts w:hint="default" w:ascii="Times New Roman" w:hAnsi="Times New Roman" w:cs="Times New Roman"/>
                <w:sz w:val="24"/>
              </w:rPr>
              <w:t>、为防止装有化学危险品物资的车辆发生翻车事故而污染河流水质，桥梁应建造防护栏或保护堤，谨防万一。同时加强有毒、有害化学品车辆运输的管理，化学品车辆必须标示醒目的标记，并对运行路线和时间加以限制，以避开交通高峰时间</w:t>
            </w:r>
            <w:r>
              <w:rPr>
                <w:rFonts w:hint="eastAsia" w:ascii="Times New Roman" w:hAnsi="Times New Roman" w:cs="Times New Roman"/>
                <w:sz w:val="24"/>
                <w:lang w:eastAsia="zh-CN"/>
              </w:rPr>
              <w:t>；</w:t>
            </w:r>
            <w:r>
              <w:rPr>
                <w:rFonts w:hint="default" w:ascii="Times New Roman" w:hAnsi="Times New Roman" w:cs="Times New Roman"/>
                <w:sz w:val="24"/>
              </w:rPr>
              <w:t>对一些剧毒化学品运输要求采取专门的许可制度和保安护卫工作。</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11</w:t>
            </w:r>
            <w:r>
              <w:rPr>
                <w:rFonts w:hint="eastAsia" w:ascii="Times New Roman" w:hAnsi="Times New Roman" w:cs="Times New Roman"/>
                <w:sz w:val="24"/>
                <w:lang w:eastAsia="zh-CN"/>
              </w:rPr>
              <w:t>）</w:t>
            </w:r>
            <w:r>
              <w:rPr>
                <w:rFonts w:hint="default" w:ascii="Times New Roman" w:hAnsi="Times New Roman" w:cs="Times New Roman"/>
                <w:sz w:val="24"/>
              </w:rPr>
              <w:t>经预测，在稳定度D类、全年主导风向及年平均风速下，本工程在营运初期2012年的交通量时，道路两侧CO、NO</w:t>
            </w:r>
            <w:r>
              <w:rPr>
                <w:rFonts w:hint="eastAsia" w:ascii="Times New Roman" w:hAnsi="Times New Roman" w:cs="Times New Roman"/>
                <w:sz w:val="24"/>
                <w:lang w:eastAsia="zh-CN"/>
              </w:rPr>
              <w:t>，</w:t>
            </w:r>
            <w:r>
              <w:rPr>
                <w:rFonts w:hint="default" w:ascii="Times New Roman" w:hAnsi="Times New Roman" w:cs="Times New Roman"/>
                <w:sz w:val="24"/>
              </w:rPr>
              <w:t>地面小时浓度均小于国家二级标准，不会对周围环境带来明显影响。</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12</w:t>
            </w:r>
            <w:r>
              <w:rPr>
                <w:rFonts w:hint="eastAsia" w:ascii="Times New Roman" w:hAnsi="Times New Roman" w:cs="Times New Roman"/>
                <w:sz w:val="24"/>
                <w:lang w:eastAsia="zh-CN"/>
              </w:rPr>
              <w:t>）</w:t>
            </w:r>
            <w:r>
              <w:rPr>
                <w:rFonts w:hint="default" w:ascii="Times New Roman" w:hAnsi="Times New Roman" w:cs="Times New Roman"/>
                <w:sz w:val="24"/>
              </w:rPr>
              <w:t>经预测，受交通噪声影响，无隔声屏障情况下，本工程一般路段行车线两侧昼间噪声均未超标</w:t>
            </w:r>
            <w:r>
              <w:rPr>
                <w:rFonts w:hint="eastAsia" w:ascii="Times New Roman" w:hAnsi="Times New Roman" w:cs="Times New Roman"/>
                <w:sz w:val="24"/>
                <w:lang w:eastAsia="zh-CN"/>
              </w:rPr>
              <w:t>；</w:t>
            </w:r>
            <w:r>
              <w:rPr>
                <w:rFonts w:hint="default" w:ascii="Times New Roman" w:hAnsi="Times New Roman" w:cs="Times New Roman"/>
                <w:sz w:val="24"/>
              </w:rPr>
              <w:t>但夜间有超标现象，距行车线10m处超标值为8.8dB。</w:t>
            </w:r>
          </w:p>
          <w:p>
            <w:pPr>
              <w:pStyle w:val="19"/>
              <w:ind w:firstLine="480"/>
              <w:rPr>
                <w:rFonts w:hint="default" w:ascii="Times New Roman" w:hAnsi="Times New Roman" w:eastAsia="宋体" w:cs="Times New Roman"/>
                <w:sz w:val="24"/>
              </w:rPr>
            </w:pPr>
            <w:r>
              <w:rPr>
                <w:rFonts w:hint="default" w:ascii="Times New Roman" w:hAnsi="Times New Roman" w:cs="Times New Roman"/>
                <w:sz w:val="24"/>
              </w:rPr>
              <w:t>由于本公路临街建筑以低</w:t>
            </w:r>
            <w:r>
              <w:rPr>
                <w:rFonts w:hint="default" w:ascii="Times New Roman" w:hAnsi="Times New Roman" w:eastAsia="宋体" w:cs="Times New Roman"/>
                <w:sz w:val="24"/>
              </w:rPr>
              <w:t>于三层楼房建筑</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含开阔地</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为主，并且相邻区域为1类标准适用区域，根据宁波市环保局要求</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道路红线外40米距离内的区域划为4类标准适用区域。由于群联村敏感点位于道路红线40米外，因此执行1类标准</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沈家、十七房畈周陶家、华山村、景家、廊厦、岙头口、牛轭漕、外山脚下、畈周村敏感点在40米距离内区域执行4类标准，以外执行1类标准。在营运初期2012年，无声屏障情况下，沈家、十七房、畈周陶家、华山村、景家、廊厦、岙头口、牛轭漕、外山脚下、畈周村敏感点昼间噪声均达4类标准，夜间全部超标，最大超标值为9.3dB，如果采取隔声屏障，隔声量按10dB</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A</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计，则夜间噪声全部达标</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群联村敏感点在无声屏障情况下昼夜间噪声均超1类区标准，昼夜最大超标值分别为2.3dB、8.4dB，如果采取隔声屏障则昼夜间噪声均达标。</w:t>
            </w:r>
          </w:p>
          <w:p>
            <w:pPr>
              <w:pStyle w:val="19"/>
              <w:ind w:firstLine="480"/>
              <w:rPr>
                <w:rFonts w:hint="eastAsia" w:ascii="Times New Roman" w:hAnsi="Times New Roman" w:eastAsia="宋体" w:cs="Times New Roman"/>
                <w:sz w:val="24"/>
                <w:lang w:eastAsia="zh-CN"/>
              </w:rPr>
            </w:pPr>
            <w:r>
              <w:rPr>
                <w:rFonts w:hint="default" w:ascii="Times New Roman" w:hAnsi="Times New Roman" w:eastAsia="宋体" w:cs="Times New Roman"/>
                <w:sz w:val="24"/>
              </w:rPr>
              <w:t>根据国家环保总局环发[2003]94号文件精神，对公</w:t>
            </w:r>
            <w:r>
              <w:rPr>
                <w:rFonts w:hint="default" w:ascii="Times New Roman" w:hAnsi="Times New Roman" w:cs="Times New Roman"/>
                <w:sz w:val="24"/>
              </w:rPr>
              <w:t>路两侧评价范围内的学校等特殊敏感建筑，其室外昼间按60dB、夜间按50dB执行。受本公路交通噪声的影响，道路西侧的丰杨河小学教学楼在营运初期</w:t>
            </w:r>
            <w:r>
              <w:rPr>
                <w:rFonts w:hint="eastAsia" w:ascii="Times New Roman" w:hAnsi="Times New Roman" w:cs="Times New Roman"/>
                <w:sz w:val="24"/>
                <w:lang w:eastAsia="zh-CN"/>
              </w:rPr>
              <w:t>，</w:t>
            </w:r>
            <w:r>
              <w:rPr>
                <w:rFonts w:hint="default" w:ascii="Times New Roman" w:hAnsi="Times New Roman" w:cs="Times New Roman"/>
                <w:sz w:val="24"/>
              </w:rPr>
              <w:t>无隔声屏障情况下昼间噪声为67.1dB、夜间噪声为62.8dB，据现场踏勘，丰杨河小学与本公路之间有一层街面房，相当于隔声屏障，按隔声量10dB</w:t>
            </w:r>
            <w:r>
              <w:rPr>
                <w:rFonts w:hint="eastAsia" w:ascii="Times New Roman" w:hAnsi="Times New Roman" w:cs="Times New Roman"/>
                <w:sz w:val="24"/>
                <w:lang w:eastAsia="zh-CN"/>
              </w:rPr>
              <w:t>（</w:t>
            </w:r>
            <w:r>
              <w:rPr>
                <w:rFonts w:hint="default" w:ascii="Times New Roman" w:hAnsi="Times New Roman" w:cs="Times New Roman"/>
                <w:sz w:val="24"/>
              </w:rPr>
              <w:t>A</w:t>
            </w:r>
            <w:r>
              <w:rPr>
                <w:rFonts w:hint="eastAsia" w:ascii="Times New Roman" w:hAnsi="Times New Roman" w:cs="Times New Roman"/>
                <w:sz w:val="24"/>
                <w:lang w:eastAsia="zh-CN"/>
              </w:rPr>
              <w:t>）</w:t>
            </w:r>
            <w:r>
              <w:rPr>
                <w:rFonts w:hint="default" w:ascii="Times New Roman" w:hAnsi="Times New Roman" w:cs="Times New Roman"/>
                <w:sz w:val="24"/>
              </w:rPr>
              <w:t>计，则丰杨河小学的教学楼的昼夜间噪声分别为67.1dB、52.8dB，昼间达标夜间有超标现象，超标值为2.8dB</w:t>
            </w:r>
            <w:r>
              <w:rPr>
                <w:rFonts w:hint="eastAsia" w:ascii="Times New Roman" w:hAnsi="Times New Roman" w:cs="Times New Roman"/>
                <w:sz w:val="24"/>
                <w:lang w:eastAsia="zh-CN"/>
              </w:rPr>
              <w:t>；</w:t>
            </w:r>
            <w:r>
              <w:rPr>
                <w:rFonts w:hint="default" w:ascii="Times New Roman" w:hAnsi="Times New Roman" w:cs="Times New Roman"/>
                <w:sz w:val="24"/>
              </w:rPr>
              <w:t>由于小学夜间不上课，因此夜间噪声对此影响不大</w:t>
            </w:r>
            <w:r>
              <w:rPr>
                <w:rFonts w:hint="eastAsia" w:ascii="Times New Roman" w:hAnsi="Times New Roman" w:cs="Times New Roman"/>
                <w:sz w:val="24"/>
                <w:lang w:eastAsia="zh-CN"/>
              </w:rPr>
              <w:t>。</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13</w:t>
            </w:r>
            <w:r>
              <w:rPr>
                <w:rFonts w:hint="eastAsia" w:ascii="Times New Roman" w:hAnsi="Times New Roman" w:cs="Times New Roman"/>
                <w:sz w:val="24"/>
                <w:lang w:eastAsia="zh-CN"/>
              </w:rPr>
              <w:t>）</w:t>
            </w:r>
            <w:r>
              <w:rPr>
                <w:rFonts w:hint="default" w:ascii="Times New Roman" w:hAnsi="Times New Roman" w:cs="Times New Roman"/>
                <w:sz w:val="24"/>
              </w:rPr>
              <w:t>、为减轻本工程建成后交通噪声、汽车尾气对现有居民住宅的影响，在选择路线时尽量考虑避开居民区或村庄，无法避免时应适当增加拆迁量，同时提高施工质量保证地面平整，并加强绿化和路面保养</w:t>
            </w:r>
            <w:r>
              <w:rPr>
                <w:rFonts w:hint="eastAsia" w:ascii="Times New Roman" w:hAnsi="Times New Roman" w:cs="Times New Roman"/>
                <w:sz w:val="24"/>
                <w:lang w:eastAsia="zh-CN"/>
              </w:rPr>
              <w:t>；</w:t>
            </w:r>
            <w:r>
              <w:rPr>
                <w:rFonts w:hint="default" w:ascii="Times New Roman" w:hAnsi="Times New Roman" w:cs="Times New Roman"/>
                <w:sz w:val="24"/>
              </w:rPr>
              <w:t>临近村庄的路段设禁鸣喇叭标志，要求车辆经过该路段禁鸣喇叭</w:t>
            </w:r>
            <w:r>
              <w:rPr>
                <w:rFonts w:hint="eastAsia" w:ascii="Times New Roman" w:hAnsi="Times New Roman" w:cs="Times New Roman"/>
                <w:sz w:val="24"/>
                <w:lang w:eastAsia="zh-CN"/>
              </w:rPr>
              <w:t>；</w:t>
            </w:r>
            <w:r>
              <w:rPr>
                <w:rFonts w:hint="default" w:ascii="Times New Roman" w:hAnsi="Times New Roman" w:cs="Times New Roman"/>
                <w:sz w:val="24"/>
              </w:rPr>
              <w:t>车辆排污要求符合有关汽车尾气排放标准。</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14</w:t>
            </w:r>
            <w:r>
              <w:rPr>
                <w:rFonts w:hint="eastAsia" w:ascii="Times New Roman" w:hAnsi="Times New Roman" w:cs="Times New Roman"/>
                <w:sz w:val="24"/>
                <w:lang w:eastAsia="zh-CN"/>
              </w:rPr>
              <w:t>）</w:t>
            </w:r>
            <w:r>
              <w:rPr>
                <w:rFonts w:hint="default" w:ascii="Times New Roman" w:hAnsi="Times New Roman" w:cs="Times New Roman"/>
                <w:sz w:val="24"/>
              </w:rPr>
              <w:t>、道路建设应重视防洪、航运措施，特别是在桥、函的设计、建设中应根据水利部门规划的航运等级及洪水标准进行设计，保证沿线原有河流的排水及航运功能。</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15</w:t>
            </w:r>
            <w:r>
              <w:rPr>
                <w:rFonts w:hint="eastAsia" w:ascii="Times New Roman" w:hAnsi="Times New Roman" w:cs="Times New Roman"/>
                <w:sz w:val="24"/>
                <w:lang w:eastAsia="zh-CN"/>
              </w:rPr>
              <w:t>）</w:t>
            </w:r>
            <w:r>
              <w:rPr>
                <w:rFonts w:hint="default" w:ascii="Times New Roman" w:hAnsi="Times New Roman" w:cs="Times New Roman"/>
                <w:sz w:val="24"/>
              </w:rPr>
              <w:t>、应搞好规划</w:t>
            </w:r>
            <w:r>
              <w:rPr>
                <w:rFonts w:hint="eastAsia" w:ascii="Times New Roman" w:hAnsi="Times New Roman" w:cs="Times New Roman"/>
                <w:sz w:val="24"/>
                <w:lang w:eastAsia="zh-CN"/>
              </w:rPr>
              <w:t>，</w:t>
            </w:r>
            <w:r>
              <w:rPr>
                <w:rFonts w:hint="default" w:ascii="Times New Roman" w:hAnsi="Times New Roman" w:cs="Times New Roman"/>
                <w:sz w:val="24"/>
              </w:rPr>
              <w:t>沿线两侧及待建的建筑物与道路间设绿化隔离带</w:t>
            </w:r>
            <w:r>
              <w:rPr>
                <w:rFonts w:hint="eastAsia" w:ascii="Times New Roman" w:hAnsi="Times New Roman" w:cs="Times New Roman"/>
                <w:sz w:val="24"/>
                <w:lang w:eastAsia="zh-CN"/>
              </w:rPr>
              <w:t>（</w:t>
            </w:r>
            <w:r>
              <w:rPr>
                <w:rFonts w:hint="default" w:ascii="Times New Roman" w:hAnsi="Times New Roman" w:cs="Times New Roman"/>
                <w:sz w:val="24"/>
              </w:rPr>
              <w:t>如种植乔木</w:t>
            </w:r>
            <w:r>
              <w:rPr>
                <w:rFonts w:hint="eastAsia" w:ascii="Times New Roman" w:hAnsi="Times New Roman" w:cs="Times New Roman"/>
                <w:sz w:val="24"/>
                <w:lang w:eastAsia="zh-CN"/>
              </w:rPr>
              <w:t>）</w:t>
            </w:r>
            <w:r>
              <w:rPr>
                <w:rFonts w:hint="default" w:ascii="Times New Roman" w:hAnsi="Times New Roman" w:cs="Times New Roman"/>
                <w:sz w:val="24"/>
              </w:rPr>
              <w:t>，以美化路容，吸音降噪，保护环境</w:t>
            </w:r>
            <w:r>
              <w:rPr>
                <w:rFonts w:hint="eastAsia" w:ascii="Times New Roman" w:hAnsi="Times New Roman" w:cs="Times New Roman"/>
                <w:sz w:val="24"/>
                <w:lang w:eastAsia="zh-CN"/>
              </w:rPr>
              <w:t>；</w:t>
            </w:r>
            <w:r>
              <w:rPr>
                <w:rFonts w:hint="default" w:ascii="Times New Roman" w:hAnsi="Times New Roman" w:cs="Times New Roman"/>
                <w:sz w:val="24"/>
              </w:rPr>
              <w:t>隧道口应做好景观、绿化设计，使隧道与周围景观相协调。</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16</w:t>
            </w:r>
            <w:r>
              <w:rPr>
                <w:rFonts w:hint="eastAsia" w:ascii="Times New Roman" w:hAnsi="Times New Roman" w:cs="Times New Roman"/>
                <w:sz w:val="24"/>
                <w:lang w:eastAsia="zh-CN"/>
              </w:rPr>
              <w:t>）</w:t>
            </w:r>
            <w:r>
              <w:rPr>
                <w:rFonts w:hint="default" w:ascii="Times New Roman" w:hAnsi="Times New Roman" w:cs="Times New Roman"/>
                <w:sz w:val="24"/>
              </w:rPr>
              <w:t>、为减少营运期交通噪声对现有敏感点的影响，建议本工程建成后对各敏感点进行噪声跟踪监测，如有超标，则应采取设置隔声屏障、增加绿化带等相关隔音降噪措施，同时建议规划在道路红线50米内不应新建居民住宅等环境敏感点，在拆迁中不应留半幢楼。</w:t>
            </w:r>
          </w:p>
          <w:p>
            <w:pPr>
              <w:pStyle w:val="19"/>
              <w:ind w:firstLine="480"/>
              <w:rPr>
                <w:rFonts w:hint="default" w:ascii="Times New Roman" w:hAnsi="Times New Roman" w:cs="Times New Roman"/>
                <w:color w:val="auto"/>
                <w:highlight w:val="none"/>
              </w:rPr>
            </w:pPr>
            <w:r>
              <w:rPr>
                <w:rFonts w:hint="default" w:ascii="Times New Roman" w:hAnsi="Times New Roman" w:cs="Times New Roman"/>
                <w:sz w:val="24"/>
              </w:rPr>
              <w:t>综上所述，本项目如能认真落实本环评提出的各项环境保护措施，并严格执行“三同时”，加强环境管理工作，其对环境的影响可控制在允许范围内，在环保方面可行</w:t>
            </w:r>
            <w:r>
              <w:rPr>
                <w:rFonts w:hint="eastAsia" w:ascii="Times New Roman" w:hAnsi="Times New Roman" w:cs="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9" w:hRule="atLeast"/>
        </w:trPr>
        <w:tc>
          <w:tcPr>
            <w:tcW w:w="8522" w:type="dxa"/>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各级环境保护行政主管部门的审批意见（国家、省、行业）</w:t>
            </w:r>
          </w:p>
          <w:p>
            <w:pPr>
              <w:pStyle w:val="19"/>
              <w:spacing w:line="336" w:lineRule="auto"/>
              <w:ind w:left="0" w:leftChars="0"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环保部门审批意见</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余环建[2008]317号</w:t>
            </w:r>
          </w:p>
          <w:p>
            <w:pPr>
              <w:pStyle w:val="19"/>
              <w:spacing w:line="336" w:lineRule="auto"/>
              <w:ind w:firstLine="480"/>
              <w:jc w:val="both"/>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余姚市余梁公路北延工程项目总投资7.39亿元，总里程8.192km，按具有集散功能的一级公路设计标准，设计速度为80km/h</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总里程中包括大桥一座，中，小桥6座，涵洞35道，隧道1座，下穿铁路立交一处，路基填方37.7万立方路基挖方31.3万立方，软基处理0.68km，沥青路面21.7万立方，水泥路面0.7万立方。经本局研究，原则同意本工程实施，在实施过程中必须落实以下环保措施</w:t>
            </w:r>
            <w:r>
              <w:rPr>
                <w:rFonts w:hint="eastAsia" w:ascii="Times New Roman" w:hAnsi="Times New Roman" w:cs="Times New Roman"/>
                <w:color w:val="auto"/>
                <w:highlight w:val="none"/>
                <w:lang w:eastAsia="zh-CN"/>
              </w:rPr>
              <w:t>：</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1、工程在施工期间必须精心组织，文明施工，采取合理有效的防范措施，确保在施工期间的扬尘、泥浆、交通噪声及生活污水等对周围环境的影响减小到最低限度。</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2、沥青拌和采用固定厂预制产品，在敏感点附近施工时应注意风向，尽量减少施工时青烟对周围敏感点的影响。</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3、排水设施设置及排水趋向合理。污水管应考虑吸纳周边地区污水。</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4、工程施工应平衡土石方量，废弃部分不得随意丢弃，尽量进行综合利用。</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5、实施道路两侧的防护绿地建设，以美好路容、吸音降噪，美好环境。</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6、桥涵的设计、建设中应根据水利部门规划的洪水标准设计工程排水，保证沿线原有的河流的排水功能。</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7、跨河流道路两侧，特别是姚江大桥两侧应建设集水沟，在外沟排水口前挖建集水井，防止危险品发生泄漏时进入水体。</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8、全面落实报告中提出的其它污染防治与生态环境保护措施</w:t>
            </w:r>
          </w:p>
          <w:p>
            <w:pPr>
              <w:pStyle w:val="19"/>
              <w:spacing w:line="336" w:lineRule="auto"/>
              <w:ind w:firstLine="480"/>
              <w:rPr>
                <w:rFonts w:hint="default" w:ascii="Times New Roman" w:hAnsi="Times New Roman" w:cs="Times New Roman"/>
                <w:color w:val="auto"/>
                <w:highlight w:val="none"/>
              </w:rPr>
            </w:pPr>
          </w:p>
          <w:p>
            <w:pPr>
              <w:pStyle w:val="19"/>
              <w:spacing w:line="336" w:lineRule="auto"/>
              <w:ind w:firstLine="0" w:firstLineChars="0"/>
              <w:jc w:val="right"/>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余姚市</w:t>
            </w:r>
            <w:r>
              <w:rPr>
                <w:rFonts w:hint="default" w:ascii="Times New Roman" w:hAnsi="Times New Roman" w:cs="Times New Roman"/>
                <w:color w:val="auto"/>
                <w:highlight w:val="none"/>
                <w:lang w:eastAsia="zh-CN"/>
              </w:rPr>
              <w:t>环境保护局</w:t>
            </w:r>
          </w:p>
          <w:p>
            <w:pPr>
              <w:pStyle w:val="19"/>
              <w:spacing w:line="336" w:lineRule="auto"/>
              <w:ind w:firstLine="480"/>
              <w:jc w:val="right"/>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r>
              <w:rPr>
                <w:rFonts w:hint="eastAsia" w:ascii="Times New Roman" w:hAnsi="Times New Roman" w:cs="Times New Roman"/>
                <w:color w:val="auto"/>
                <w:highlight w:val="none"/>
                <w:lang w:val="en-US" w:eastAsia="zh-CN"/>
              </w:rPr>
              <w:t>08</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日</w:t>
            </w:r>
          </w:p>
        </w:tc>
      </w:tr>
    </w:tbl>
    <w:p>
      <w:pPr>
        <w:jc w:val="center"/>
        <w:rPr>
          <w:rFonts w:hint="default" w:ascii="Times New Roman" w:hAnsi="Times New Roman" w:cs="Times New Roman"/>
          <w:color w:val="auto"/>
          <w:highlight w:val="none"/>
        </w:rPr>
        <w:sectPr>
          <w:head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ascii="Times New Roman" w:hAnsi="Times New Roman" w:eastAsia="宋体" w:cs="Times New Roman"/>
          <w:b/>
          <w:bCs/>
          <w:color w:val="auto"/>
          <w:sz w:val="24"/>
          <w:highlight w:val="none"/>
        </w:rPr>
        <w:br w:type="page"/>
      </w:r>
    </w:p>
    <w:p>
      <w:pPr>
        <w:pStyle w:val="3"/>
        <w:rPr>
          <w:rFonts w:hint="default" w:ascii="Times New Roman" w:hAnsi="Times New Roman" w:cs="Times New Roman"/>
          <w:color w:val="auto"/>
          <w:highlight w:val="none"/>
        </w:rPr>
      </w:pPr>
      <w:bookmarkStart w:id="5" w:name="_Toc20294"/>
      <w:r>
        <w:rPr>
          <w:rFonts w:hint="default" w:ascii="Times New Roman" w:hAnsi="Times New Roman" w:cs="Times New Roman"/>
          <w:color w:val="auto"/>
          <w:highlight w:val="none"/>
        </w:rPr>
        <w:t>6 环境保护措施执行情况</w:t>
      </w:r>
      <w:bookmarkEnd w:id="5"/>
    </w:p>
    <w:tbl>
      <w:tblPr>
        <w:tblStyle w:val="16"/>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131"/>
        <w:gridCol w:w="8253"/>
        <w:gridCol w:w="2913"/>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18" w:type="dxa"/>
            <w:vAlign w:val="center"/>
          </w:tcPr>
          <w:p>
            <w:pPr>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阶段</w:t>
            </w: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8253"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环境影响报告表及审批文件中要求的环境保护措施</w:t>
            </w:r>
          </w:p>
        </w:tc>
        <w:tc>
          <w:tcPr>
            <w:tcW w:w="2913"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环境保护措施的</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落实情况</w:t>
            </w:r>
          </w:p>
        </w:tc>
        <w:tc>
          <w:tcPr>
            <w:tcW w:w="1358"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措施的执行效果及未采取措施的原因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518" w:type="dxa"/>
            <w:vMerge w:val="restart"/>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施工期</w:t>
            </w: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水环境</w:t>
            </w:r>
          </w:p>
        </w:tc>
        <w:tc>
          <w:tcPr>
            <w:tcW w:w="8253" w:type="dxa"/>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建设好临时的生活设施，临时食堂的厨房废水设简易的隔油池</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设临时厕所、化粪池，委托当地农民定期清运作农肥，或委托当地环卫部门收集处置，也可以就近利用附近村庄的卫生设施。</w:t>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施工废水</w:t>
            </w:r>
            <w:r>
              <w:rPr>
                <w:rFonts w:hint="default" w:ascii="Times New Roman" w:hAnsi="Times New Roman" w:cs="Times New Roman"/>
                <w:color w:val="auto"/>
                <w:sz w:val="21"/>
                <w:szCs w:val="21"/>
                <w:highlight w:val="none"/>
              </w:rPr>
              <w:t>经收集沉淀后上清液排放，堆泥干化后外运填埋或用于建设工程的填料。</w:t>
            </w:r>
          </w:p>
        </w:tc>
        <w:tc>
          <w:tcPr>
            <w:tcW w:w="2913" w:type="dxa"/>
            <w:vAlign w:val="center"/>
          </w:tcPr>
          <w:p>
            <w:pPr>
              <w:pStyle w:val="19"/>
              <w:spacing w:line="240" w:lineRule="auto"/>
              <w:ind w:firstLine="0" w:firstLineChars="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生活污水：经化粪池处理达标后，委托环卫清运</w:t>
            </w:r>
            <w:r>
              <w:rPr>
                <w:rFonts w:hint="eastAsia" w:ascii="Times New Roman" w:hAnsi="Times New Roman" w:cs="Times New Roman"/>
                <w:sz w:val="21"/>
                <w:szCs w:val="21"/>
                <w:lang w:eastAsia="zh-CN"/>
              </w:rPr>
              <w:t>。</w:t>
            </w:r>
          </w:p>
          <w:p>
            <w:pPr>
              <w:pStyle w:val="19"/>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钻孔灌注桩泥浆水：现场就近将施工钻渣和泥浆排入沉砂池或泥浆池，经分沉淀后上清液回用于本项目车辆冲洗、洒水降尘等。</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cs="Times New Roman"/>
                <w:sz w:val="21"/>
                <w:szCs w:val="21"/>
              </w:rPr>
              <w:t>清洗废水：经隔油沉淀后，回用于场地洒水以及施工车辆冲洗</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声环境</w:t>
            </w:r>
          </w:p>
        </w:tc>
        <w:tc>
          <w:tcPr>
            <w:tcW w:w="8253" w:type="dxa"/>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对施工期的噪声要求采用低噪声工艺，文明生产，距居民住宅200m内的路段夜间禁止进行对居民生活环境产生噪声污染的施工作业。</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在选择路线时尽量考虑避开现有村庄，无法避免时应适当增加拆迁量;搞好沿线规划，尽早实施道路两侧的公共绿地和防护绿地建设，以美化路容，吸音降噪，保护环境。</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提高道路施工质量，加强路面保养;设置交通标志、标线等设施</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禁止鸣号。</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本工程建成后对各敏感点进行噪声监测，如有超标，则应采取设置隔声屏障、增加绿化带等相关隔音降噪措施。</w:t>
            </w:r>
          </w:p>
        </w:tc>
        <w:tc>
          <w:tcPr>
            <w:tcW w:w="29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施工单位在白天进行施工</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并设有专人进行设备的维护与管理使设备处于低噪声工作状态。</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大气环境</w:t>
            </w:r>
          </w:p>
        </w:tc>
        <w:tc>
          <w:tcPr>
            <w:tcW w:w="8253" w:type="dxa"/>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管理，文明施工，建筑材料轻装轻卸;运输粉砂等易产生扬尘的车辆上应覆盖篷布;临时堆放的土石方、砂料等表面必要时应酒水:沥青熔化必须在沥青搅拌站进行，现场只进行路面铺设。同时要求沥青拌和站应远离居民区，且设在居民或村庄的下风向为宜:沥青拌和设备必须带有除尘装置。加强绿化建设，车辆排污要求符合有关汽车尾气排放标准。</w:t>
            </w:r>
          </w:p>
        </w:tc>
        <w:tc>
          <w:tcPr>
            <w:tcW w:w="29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，施工方采用</w:t>
            </w:r>
            <w:r>
              <w:rPr>
                <w:rFonts w:hint="default" w:ascii="Times New Roman" w:hAnsi="Times New Roman" w:cs="Times New Roman"/>
                <w:color w:val="auto"/>
                <w:sz w:val="21"/>
                <w:szCs w:val="21"/>
                <w:highlight w:val="none"/>
              </w:rPr>
              <w:t>洒水抑尘</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限制车速</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保持场地清洁</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封闭操作</w:t>
            </w:r>
            <w:r>
              <w:rPr>
                <w:rFonts w:hint="eastAsia" w:ascii="Times New Roman" w:hAnsi="Times New Roman" w:cs="Times New Roman"/>
                <w:color w:val="auto"/>
                <w:sz w:val="21"/>
                <w:szCs w:val="21"/>
                <w:highlight w:val="none"/>
                <w:lang w:eastAsia="zh-CN"/>
              </w:rPr>
              <w:t>等措施，</w:t>
            </w:r>
            <w:r>
              <w:rPr>
                <w:rFonts w:hint="default" w:ascii="Times New Roman" w:hAnsi="Times New Roman" w:cs="Times New Roman"/>
                <w:color w:val="auto"/>
                <w:sz w:val="21"/>
                <w:szCs w:val="21"/>
                <w:highlight w:val="none"/>
              </w:rPr>
              <w:t>基本按环评及批复要求实施废气排放控制措施。</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w:t>
            </w:r>
          </w:p>
        </w:tc>
        <w:tc>
          <w:tcPr>
            <w:tcW w:w="82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生活垃圾避雨集中堆放，委托环卫部门及时运走处置:用路基挖方作为填筑材料，及时进行运输平衡</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建筑垃圾应与当地渣土办联系，及时清运，送指定地点妥善处置。</w:t>
            </w:r>
          </w:p>
        </w:tc>
        <w:tc>
          <w:tcPr>
            <w:tcW w:w="29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建筑垃圾</w:t>
            </w:r>
            <w:r>
              <w:rPr>
                <w:rFonts w:hint="eastAsia" w:ascii="Times New Roman" w:hAnsi="Times New Roman" w:cs="Times New Roman"/>
                <w:color w:val="auto"/>
                <w:sz w:val="21"/>
                <w:szCs w:val="21"/>
                <w:highlight w:val="none"/>
                <w:lang w:eastAsia="zh-CN"/>
              </w:rPr>
              <w:t>未</w:t>
            </w:r>
            <w:r>
              <w:rPr>
                <w:rFonts w:hint="default" w:ascii="Times New Roman" w:hAnsi="Times New Roman" w:cs="Times New Roman"/>
                <w:color w:val="auto"/>
                <w:sz w:val="21"/>
                <w:szCs w:val="21"/>
                <w:highlight w:val="none"/>
              </w:rPr>
              <w:t>随意倾倒</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运至合法登记的消纳场地内处理；</w:t>
            </w:r>
            <w:r>
              <w:rPr>
                <w:rFonts w:hint="default" w:ascii="Times New Roman" w:hAnsi="Times New Roman" w:cs="Times New Roman"/>
                <w:color w:val="auto"/>
                <w:kern w:val="0"/>
                <w:sz w:val="21"/>
                <w:szCs w:val="21"/>
                <w:highlight w:val="none"/>
              </w:rPr>
              <w:t>施工期施工人员生活垃圾进行了集中收集后交环卫部门处置</w:t>
            </w:r>
            <w:r>
              <w:rPr>
                <w:rFonts w:hint="eastAsia" w:ascii="Times New Roman" w:hAnsi="Times New Roman" w:cs="Times New Roman"/>
                <w:color w:val="auto"/>
                <w:kern w:val="0"/>
                <w:sz w:val="21"/>
                <w:szCs w:val="21"/>
                <w:highlight w:val="none"/>
                <w:lang w:eastAsia="zh-CN"/>
              </w:rPr>
              <w:t>，</w:t>
            </w:r>
            <w:r>
              <w:rPr>
                <w:rFonts w:hint="default" w:ascii="Times New Roman" w:hAnsi="Times New Roman" w:cs="Times New Roman"/>
                <w:color w:val="auto"/>
                <w:sz w:val="21"/>
                <w:szCs w:val="21"/>
                <w:highlight w:val="none"/>
              </w:rPr>
              <w:t>基本按环评及批复要求对固废进行处理。</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生态环境</w:t>
            </w:r>
          </w:p>
        </w:tc>
        <w:tc>
          <w:tcPr>
            <w:tcW w:w="82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但本工程建设中对生态环境的影响是不可避免，因此要加强管理，文明施工，搞好道路两旁及绿化隔离带的建设，以美化路容，保护环境。</w:t>
            </w:r>
          </w:p>
        </w:tc>
        <w:tc>
          <w:tcPr>
            <w:tcW w:w="29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，避免雨季施工，</w:t>
            </w:r>
            <w:r>
              <w:rPr>
                <w:rFonts w:hint="default" w:ascii="Times New Roman" w:hAnsi="Times New Roman" w:cs="Times New Roman"/>
                <w:color w:val="auto"/>
                <w:sz w:val="21"/>
                <w:szCs w:val="21"/>
                <w:highlight w:val="none"/>
              </w:rPr>
              <w:t>开挖的土方尽量作为施工场地平整回填</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工程施工尽量做到分期、分区进行</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不全面铺开</w:t>
            </w:r>
            <w:r>
              <w:rPr>
                <w:rFonts w:hint="eastAsia" w:ascii="Times New Roman" w:hAnsi="Times New Roman" w:cs="Times New Roman"/>
                <w:color w:val="auto"/>
                <w:sz w:val="21"/>
                <w:szCs w:val="21"/>
                <w:highlight w:val="none"/>
                <w:lang w:eastAsia="zh-CN"/>
              </w:rPr>
              <w:t>，同时</w:t>
            </w:r>
            <w:r>
              <w:rPr>
                <w:rFonts w:hint="default" w:ascii="Times New Roman" w:hAnsi="Times New Roman" w:cs="Times New Roman"/>
                <w:color w:val="auto"/>
                <w:sz w:val="21"/>
                <w:szCs w:val="21"/>
                <w:highlight w:val="none"/>
              </w:rPr>
              <w:t>加强施工管理</w:t>
            </w:r>
            <w:r>
              <w:rPr>
                <w:rFonts w:hint="eastAsia" w:ascii="Times New Roman" w:hAnsi="Times New Roman" w:cs="Times New Roman"/>
                <w:color w:val="auto"/>
                <w:sz w:val="21"/>
                <w:szCs w:val="21"/>
                <w:highlight w:val="none"/>
                <w:lang w:eastAsia="zh-CN"/>
              </w:rPr>
              <w:t>，做好对员工关于水土保持的教育工作，</w:t>
            </w:r>
            <w:r>
              <w:rPr>
                <w:rFonts w:hint="default" w:ascii="Times New Roman" w:hAnsi="Times New Roman" w:cs="Times New Roman"/>
                <w:color w:val="auto"/>
                <w:sz w:val="21"/>
                <w:szCs w:val="21"/>
                <w:highlight w:val="none"/>
              </w:rPr>
              <w:t>基本按环评及批复要求对施工场地及周边环境进行了生态保护。</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社会环境</w:t>
            </w:r>
          </w:p>
        </w:tc>
        <w:tc>
          <w:tcPr>
            <w:tcW w:w="8253"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施工过程破坏的地表路面和植被应尽快恢复。</w:t>
            </w:r>
          </w:p>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对拆迁造成的经济损失应按国家、宁波市及余姚市有关拆迁规定进行拆迁安置和补偿。</w:t>
            </w:r>
          </w:p>
        </w:tc>
        <w:tc>
          <w:tcPr>
            <w:tcW w:w="2913"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永久性占用将改变土地的使用现状</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造成局部村庄耕地减少</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增加</w:t>
            </w:r>
            <w:r>
              <w:rPr>
                <w:rFonts w:hint="default" w:ascii="Times New Roman" w:hAnsi="Times New Roman" w:cs="Times New Roman"/>
                <w:color w:val="auto"/>
                <w:sz w:val="21"/>
                <w:szCs w:val="21"/>
                <w:highlight w:val="none"/>
                <w:lang w:eastAsia="zh-CN"/>
              </w:rPr>
              <w:t>区域</w:t>
            </w:r>
            <w:r>
              <w:rPr>
                <w:rFonts w:hint="default" w:ascii="Times New Roman" w:hAnsi="Times New Roman" w:cs="Times New Roman"/>
                <w:color w:val="auto"/>
                <w:sz w:val="21"/>
                <w:szCs w:val="21"/>
                <w:highlight w:val="none"/>
              </w:rPr>
              <w:t>道路的交通压力</w:t>
            </w:r>
            <w:r>
              <w:rPr>
                <w:rFonts w:hint="eastAsia" w:ascii="Times New Roman" w:hAnsi="Times New Roman" w:cs="Times New Roman"/>
                <w:color w:val="auto"/>
                <w:sz w:val="21"/>
                <w:szCs w:val="21"/>
                <w:highlight w:val="none"/>
                <w:lang w:eastAsia="zh-CN"/>
              </w:rPr>
              <w:t>，施工期结束后影响随即消失</w:t>
            </w:r>
            <w:r>
              <w:rPr>
                <w:rFonts w:hint="default" w:ascii="Times New Roman" w:hAnsi="Times New Roman" w:cs="Times New Roman"/>
                <w:color w:val="auto"/>
                <w:sz w:val="21"/>
                <w:szCs w:val="21"/>
                <w:highlight w:val="none"/>
              </w:rPr>
              <w:t>。</w:t>
            </w:r>
          </w:p>
        </w:tc>
        <w:tc>
          <w:tcPr>
            <w:tcW w:w="1358"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18" w:type="dxa"/>
            <w:vMerge w:val="restart"/>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营运期</w:t>
            </w: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声环境</w:t>
            </w:r>
          </w:p>
        </w:tc>
        <w:tc>
          <w:tcPr>
            <w:tcW w:w="8253" w:type="dxa"/>
            <w:vAlign w:val="center"/>
          </w:tcPr>
          <w:p>
            <w:pPr>
              <w:rPr>
                <w:rFonts w:hint="default" w:ascii="Times New Roman" w:hAnsi="Times New Roman" w:cs="Times New Roman" w:eastAsiaTheme="minorEastAsia"/>
                <w:color w:val="auto"/>
                <w:sz w:val="21"/>
                <w:szCs w:val="21"/>
                <w:highlight w:val="none"/>
                <w:lang w:eastAsia="zh-CN"/>
              </w:rPr>
            </w:pPr>
            <w:r>
              <w:rPr>
                <w:rFonts w:hint="default" w:ascii="宋体" w:hAnsi="宋体" w:eastAsia="宋体" w:cs="宋体"/>
                <w:spacing w:val="-1"/>
                <w:sz w:val="21"/>
                <w:szCs w:val="21"/>
              </w:rPr>
              <w:t>落实工程设计，选用低噪声路面；降噪伸缩缝；加强工程沿线区域建设的规划控制</w:t>
            </w:r>
            <w:r>
              <w:rPr>
                <w:rFonts w:hint="default" w:ascii="宋体" w:hAnsi="宋体" w:eastAsia="宋体" w:cs="宋体"/>
                <w:sz w:val="21"/>
                <w:szCs w:val="21"/>
              </w:rPr>
              <w:t>管理；交通管理措施。</w:t>
            </w:r>
          </w:p>
        </w:tc>
        <w:tc>
          <w:tcPr>
            <w:tcW w:w="2913" w:type="dxa"/>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道路两边栽种绿植，</w:t>
            </w:r>
            <w:r>
              <w:rPr>
                <w:rFonts w:hint="default" w:ascii="Times New Roman" w:hAnsi="Times New Roman" w:cs="Times New Roman"/>
                <w:color w:val="auto"/>
                <w:sz w:val="21"/>
                <w:szCs w:val="21"/>
                <w:highlight w:val="none"/>
              </w:rPr>
              <w:t>在敏感点采取限鸣、限速等措施</w:t>
            </w:r>
            <w:r>
              <w:rPr>
                <w:rFonts w:hint="eastAsia" w:ascii="Times New Roman" w:hAnsi="Times New Roman" w:cs="Times New Roman"/>
                <w:color w:val="auto"/>
                <w:sz w:val="21"/>
                <w:szCs w:val="21"/>
                <w:highlight w:val="none"/>
                <w:lang w:eastAsia="zh-CN"/>
              </w:rPr>
              <w:t>，加强路面的日常维护</w:t>
            </w:r>
            <w:r>
              <w:rPr>
                <w:rFonts w:hint="default" w:ascii="Times New Roman" w:hAnsi="Times New Roman" w:cs="Times New Roman"/>
                <w:color w:val="auto"/>
                <w:sz w:val="21"/>
                <w:szCs w:val="21"/>
                <w:highlight w:val="none"/>
              </w:rPr>
              <w:t>。</w:t>
            </w:r>
          </w:p>
        </w:tc>
        <w:tc>
          <w:tcPr>
            <w:tcW w:w="1358"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518" w:type="dxa"/>
            <w:vMerge w:val="continue"/>
            <w:vAlign w:val="center"/>
          </w:tcPr>
          <w:p>
            <w:pPr>
              <w:jc w:val="center"/>
              <w:rPr>
                <w:rFonts w:hint="default" w:ascii="Times New Roman" w:hAnsi="Times New Roman" w:cs="Times New Roman"/>
                <w:color w:val="auto"/>
                <w:sz w:val="21"/>
                <w:szCs w:val="21"/>
                <w:highlight w:val="none"/>
              </w:rPr>
            </w:pP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水环境</w:t>
            </w:r>
          </w:p>
        </w:tc>
        <w:tc>
          <w:tcPr>
            <w:tcW w:w="8253" w:type="dxa"/>
            <w:vAlign w:val="center"/>
          </w:tcPr>
          <w:p>
            <w:pPr>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szCs w:val="21"/>
                <w:lang w:val="en-US" w:eastAsia="zh-CN"/>
              </w:rPr>
              <w:t>/</w:t>
            </w:r>
          </w:p>
        </w:tc>
        <w:tc>
          <w:tcPr>
            <w:tcW w:w="2913"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加强对路面的日常维护与管理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保持路面清洁</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及时对清理路面上累积的尘土、碎屑、油污等；加强雨水管网的维护</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避免堵塞排水不畅而外溢。</w:t>
            </w:r>
          </w:p>
        </w:tc>
        <w:tc>
          <w:tcPr>
            <w:tcW w:w="1358"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518" w:type="dxa"/>
            <w:vMerge w:val="continue"/>
            <w:vAlign w:val="center"/>
          </w:tcPr>
          <w:p>
            <w:pPr>
              <w:jc w:val="center"/>
              <w:rPr>
                <w:rFonts w:hint="default" w:ascii="Times New Roman" w:hAnsi="Times New Roman" w:cs="Times New Roman"/>
                <w:color w:val="auto"/>
                <w:sz w:val="21"/>
                <w:szCs w:val="21"/>
                <w:highlight w:val="none"/>
              </w:rPr>
            </w:pP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大气环境</w:t>
            </w:r>
          </w:p>
        </w:tc>
        <w:tc>
          <w:tcPr>
            <w:tcW w:w="8253" w:type="dxa"/>
            <w:vAlign w:val="center"/>
          </w:tcPr>
          <w:p>
            <w:pPr>
              <w:rPr>
                <w:rFonts w:hint="default" w:ascii="Times New Roman" w:hAnsi="Times New Roman" w:cs="Times New Roman"/>
                <w:color w:val="auto"/>
                <w:sz w:val="21"/>
                <w:szCs w:val="21"/>
                <w:highlight w:val="none"/>
              </w:rPr>
            </w:pPr>
            <w:r>
              <w:rPr>
                <w:rFonts w:hint="default" w:ascii="宋体" w:hAnsi="宋体" w:eastAsia="宋体" w:cs="宋体"/>
                <w:spacing w:val="-1"/>
                <w:sz w:val="21"/>
                <w:szCs w:val="21"/>
              </w:rPr>
              <w:t>加强车辆的管理，尾</w:t>
            </w:r>
            <w:r>
              <w:rPr>
                <w:rFonts w:hint="default" w:ascii="宋体" w:hAnsi="宋体" w:eastAsia="宋体" w:cs="宋体"/>
                <w:sz w:val="21"/>
                <w:szCs w:val="21"/>
              </w:rPr>
              <w:t>气超标车辆禁止上</w:t>
            </w:r>
            <w:r>
              <w:rPr>
                <w:rFonts w:hint="default" w:ascii="宋体" w:hAnsi="宋体" w:eastAsia="宋体" w:cs="宋体"/>
                <w:spacing w:val="-1"/>
                <w:sz w:val="21"/>
                <w:szCs w:val="21"/>
              </w:rPr>
              <w:t>路；落实项目绿化建设；加强道路清扫，</w:t>
            </w:r>
            <w:r>
              <w:rPr>
                <w:rFonts w:hint="default" w:ascii="宋体" w:hAnsi="宋体" w:eastAsia="宋体" w:cs="宋体"/>
                <w:sz w:val="21"/>
                <w:szCs w:val="21"/>
              </w:rPr>
              <w:t>定期清洗道路绿化带，保持道路绿化带清洁。</w:t>
            </w:r>
          </w:p>
        </w:tc>
        <w:tc>
          <w:tcPr>
            <w:tcW w:w="2913"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加强道路管理及路面防护</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超标车辆禁止上路</w:t>
            </w:r>
            <w:r>
              <w:rPr>
                <w:rFonts w:hint="eastAsia" w:ascii="Times New Roman" w:hAnsi="Times New Roman" w:cs="Times New Roman"/>
                <w:color w:val="auto"/>
                <w:sz w:val="21"/>
                <w:szCs w:val="21"/>
                <w:highlight w:val="none"/>
                <w:lang w:eastAsia="zh-CN"/>
              </w:rPr>
              <w:t>，对</w:t>
            </w:r>
            <w:r>
              <w:rPr>
                <w:rFonts w:hint="default" w:ascii="Times New Roman" w:hAnsi="Times New Roman" w:cs="Times New Roman"/>
                <w:color w:val="auto"/>
                <w:sz w:val="21"/>
                <w:szCs w:val="21"/>
                <w:highlight w:val="none"/>
              </w:rPr>
              <w:t>道路沿线绿化</w:t>
            </w:r>
            <w:r>
              <w:rPr>
                <w:rFonts w:hint="eastAsia" w:ascii="Times New Roman" w:hAnsi="Times New Roman" w:cs="Times New Roman"/>
                <w:color w:val="auto"/>
                <w:sz w:val="21"/>
                <w:szCs w:val="21"/>
                <w:highlight w:val="none"/>
                <w:lang w:eastAsia="zh-CN"/>
              </w:rPr>
              <w:t>进行日常维护</w:t>
            </w:r>
            <w:r>
              <w:rPr>
                <w:rFonts w:hint="default" w:ascii="Times New Roman" w:hAnsi="Times New Roman" w:cs="Times New Roman"/>
                <w:color w:val="auto"/>
                <w:sz w:val="21"/>
                <w:szCs w:val="21"/>
                <w:highlight w:val="none"/>
              </w:rPr>
              <w:t>。</w:t>
            </w:r>
          </w:p>
        </w:tc>
        <w:tc>
          <w:tcPr>
            <w:tcW w:w="1358"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18" w:type="dxa"/>
            <w:vMerge w:val="continue"/>
            <w:vAlign w:val="center"/>
          </w:tcPr>
          <w:p>
            <w:pPr>
              <w:jc w:val="center"/>
              <w:rPr>
                <w:rFonts w:hint="default" w:ascii="Times New Roman" w:hAnsi="Times New Roman" w:cs="Times New Roman"/>
                <w:color w:val="auto"/>
                <w:sz w:val="21"/>
                <w:szCs w:val="21"/>
                <w:highlight w:val="none"/>
              </w:rPr>
            </w:pPr>
          </w:p>
        </w:tc>
        <w:tc>
          <w:tcPr>
            <w:tcW w:w="1131" w:type="dxa"/>
            <w:vAlign w:val="center"/>
          </w:tcPr>
          <w:p>
            <w:pPr>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固废</w:t>
            </w:r>
          </w:p>
        </w:tc>
        <w:tc>
          <w:tcPr>
            <w:tcW w:w="8253" w:type="dxa"/>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lang w:val="en-US" w:eastAsia="zh-CN"/>
              </w:rPr>
              <w:t>/</w:t>
            </w:r>
          </w:p>
        </w:tc>
        <w:tc>
          <w:tcPr>
            <w:tcW w:w="2913" w:type="dxa"/>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当地环卫部门清扫收集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统</w:t>
            </w:r>
            <w:r>
              <w:rPr>
                <w:rFonts w:hint="default" w:ascii="Times New Roman" w:hAnsi="Times New Roman" w:cs="Times New Roman"/>
                <w:color w:val="auto"/>
                <w:sz w:val="21"/>
                <w:szCs w:val="21"/>
                <w:highlight w:val="none"/>
                <w:lang w:eastAsia="zh-CN"/>
              </w:rPr>
              <w:t>一清运</w:t>
            </w:r>
            <w:r>
              <w:rPr>
                <w:rFonts w:hint="default" w:ascii="Times New Roman" w:hAnsi="Times New Roman" w:cs="Times New Roman"/>
                <w:color w:val="auto"/>
                <w:sz w:val="21"/>
                <w:szCs w:val="21"/>
                <w:highlight w:val="none"/>
              </w:rPr>
              <w:t>处理。</w:t>
            </w:r>
          </w:p>
        </w:tc>
        <w:tc>
          <w:tcPr>
            <w:tcW w:w="1358" w:type="dxa"/>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18" w:type="dxa"/>
            <w:vMerge w:val="continue"/>
            <w:vAlign w:val="center"/>
          </w:tcPr>
          <w:p>
            <w:pPr>
              <w:jc w:val="center"/>
              <w:rPr>
                <w:rFonts w:hint="default" w:ascii="Times New Roman" w:hAnsi="Times New Roman" w:cs="Times New Roman"/>
                <w:color w:val="auto"/>
                <w:sz w:val="21"/>
                <w:szCs w:val="21"/>
                <w:highlight w:val="none"/>
              </w:rPr>
            </w:pP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生态环境</w:t>
            </w:r>
          </w:p>
        </w:tc>
        <w:tc>
          <w:tcPr>
            <w:tcW w:w="8253" w:type="dxa"/>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lang w:val="en-US" w:eastAsia="zh-CN"/>
              </w:rPr>
              <w:t>/</w:t>
            </w:r>
          </w:p>
        </w:tc>
        <w:tc>
          <w:tcPr>
            <w:tcW w:w="2913" w:type="dxa"/>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道路两边种植绿植，并做好日常维护，减少道路建设对周围环境的影响</w:t>
            </w:r>
            <w:r>
              <w:rPr>
                <w:rFonts w:hint="default" w:ascii="Times New Roman" w:hAnsi="Times New Roman" w:cs="Times New Roman"/>
                <w:color w:val="auto"/>
                <w:sz w:val="21"/>
                <w:szCs w:val="21"/>
                <w:highlight w:val="none"/>
              </w:rPr>
              <w:t>。</w:t>
            </w:r>
          </w:p>
        </w:tc>
        <w:tc>
          <w:tcPr>
            <w:tcW w:w="1358" w:type="dxa"/>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对周围环境影响较小</w:t>
            </w:r>
          </w:p>
        </w:tc>
      </w:tr>
    </w:tbl>
    <w:p>
      <w:pPr>
        <w:jc w:val="center"/>
        <w:rPr>
          <w:rFonts w:hint="default" w:ascii="Times New Roman" w:hAnsi="Times New Roman" w:cs="Times New Roman"/>
          <w:color w:val="auto"/>
          <w:highlight w:val="none"/>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24"/>
          <w:highlight w:val="none"/>
        </w:rPr>
        <w:br w:type="page"/>
      </w:r>
    </w:p>
    <w:p>
      <w:pPr>
        <w:pStyle w:val="3"/>
        <w:rPr>
          <w:rFonts w:hint="default" w:ascii="Times New Roman" w:hAnsi="Times New Roman" w:cs="Times New Roman"/>
          <w:color w:val="auto"/>
          <w:highlight w:val="none"/>
        </w:rPr>
      </w:pPr>
      <w:bookmarkStart w:id="6" w:name="_Toc31088"/>
      <w:r>
        <w:rPr>
          <w:rFonts w:hint="default" w:ascii="Times New Roman" w:hAnsi="Times New Roman" w:cs="Times New Roman"/>
          <w:color w:val="auto"/>
          <w:highlight w:val="none"/>
        </w:rPr>
        <w:t>7 环境影响调查</w:t>
      </w:r>
      <w:bookmarkEnd w:id="6"/>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423"/>
        <w:gridCol w:w="7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253" w:type="pct"/>
            <w:vMerge w:val="restar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w:t>
            </w: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生态影响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工程施工严格按照《</w:t>
            </w:r>
            <w:r>
              <w:rPr>
                <w:rFonts w:hint="eastAsia" w:ascii="Times New Roman" w:hAnsi="Times New Roman" w:cs="Times New Roman"/>
                <w:color w:val="auto"/>
                <w:sz w:val="24"/>
                <w:highlight w:val="none"/>
                <w:lang w:eastAsia="zh-CN"/>
              </w:rPr>
              <w:t>余姚市余梁公路北延工程建设项目环境影响报告表</w:t>
            </w:r>
            <w:r>
              <w:rPr>
                <w:rFonts w:hint="default" w:ascii="Times New Roman" w:hAnsi="Times New Roman" w:cs="Times New Roman"/>
                <w:color w:val="auto"/>
                <w:sz w:val="24"/>
                <w:highlight w:val="none"/>
              </w:rPr>
              <w:t>》提出的水土保持方案要求进行水土流失防治</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施工期的各类污染均被处理达标排放</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对外环境影响不大。因此对当地的生态环境影响不大。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continue"/>
            <w:vAlign w:val="center"/>
          </w:tcPr>
          <w:p>
            <w:pPr>
              <w:rPr>
                <w:rFonts w:hint="default" w:ascii="Times New Roman" w:hAnsi="Times New Roman" w:cs="Times New Roman"/>
                <w:color w:val="auto"/>
                <w:sz w:val="24"/>
                <w:highlight w:val="none"/>
              </w:rPr>
            </w:pP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按环评要求基本做好了建筑施工</w:t>
            </w:r>
            <w:r>
              <w:rPr>
                <w:rFonts w:hint="default" w:ascii="Times New Roman" w:hAnsi="Times New Roman" w:cs="Times New Roman"/>
                <w:color w:val="auto"/>
                <w:sz w:val="24"/>
                <w:highlight w:val="none"/>
                <w:lang w:eastAsia="zh-CN"/>
              </w:rPr>
              <w:t>废水</w:t>
            </w:r>
            <w:r>
              <w:rPr>
                <w:rFonts w:hint="default" w:ascii="Times New Roman" w:hAnsi="Times New Roman" w:cs="Times New Roman"/>
                <w:color w:val="auto"/>
                <w:sz w:val="24"/>
                <w:highlight w:val="none"/>
              </w:rPr>
              <w:t>、建筑施工噪声扬尘及建筑垃圾等污染物治理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做好了水土保持工作</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对周边环境影响不大；文明施工、合法施工</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夜间（22：00-06：00）基本未进行施工作业</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施工期噪声基本符合施工期场界噪声标准。根据调查</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对外界环境影响不大。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continue"/>
            <w:vAlign w:val="center"/>
          </w:tcPr>
          <w:p>
            <w:pPr>
              <w:rPr>
                <w:rFonts w:hint="default" w:ascii="Times New Roman" w:hAnsi="Times New Roman" w:cs="Times New Roman"/>
                <w:color w:val="auto"/>
                <w:sz w:val="24"/>
                <w:highlight w:val="none"/>
              </w:rPr>
            </w:pP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社会影响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项目建设期间未引起居民环保投诉。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restar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营运期</w:t>
            </w: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生态影响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工程建设造成原有自然景观的改变</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破坏了原地表植被</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通过实施合理绿化有效达到了生态补偿要求。由于路面热容量小</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反射率大</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蒸发耗热几乎为零</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下垫面温度高</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升热快</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形成“热浪带”</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将造成工程区周边小环境的改变。减轻这种不良影响的办法主要是植树和绿化。绿化带具有降温、降噪、降低风速、减少土壤水份蒸发和风蚀以及减少污染物传输的作用</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相应减少了道路建设对周围环境的影响。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continue"/>
            <w:vAlign w:val="center"/>
          </w:tcPr>
          <w:p>
            <w:pPr>
              <w:rPr>
                <w:rFonts w:hint="default" w:ascii="Times New Roman" w:hAnsi="Times New Roman" w:cs="Times New Roman"/>
                <w:color w:val="auto"/>
                <w:sz w:val="24"/>
                <w:highlight w:val="none"/>
              </w:rPr>
            </w:pP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本项目为道路项目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产生的污染很简单</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主要是汽车</w:t>
            </w:r>
            <w:r>
              <w:rPr>
                <w:rFonts w:hint="eastAsia" w:ascii="Times New Roman" w:hAnsi="Times New Roman" w:cs="Times New Roman"/>
                <w:color w:val="auto"/>
                <w:sz w:val="24"/>
                <w:highlight w:val="none"/>
                <w:lang w:val="en-US" w:eastAsia="zh-CN"/>
              </w:rPr>
              <w:t>噪声、汽车</w:t>
            </w:r>
            <w:r>
              <w:rPr>
                <w:rFonts w:hint="default" w:ascii="Times New Roman" w:hAnsi="Times New Roman" w:cs="Times New Roman"/>
                <w:color w:val="auto"/>
                <w:sz w:val="24"/>
                <w:highlight w:val="none"/>
              </w:rPr>
              <w:t>尾气和路面径流</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对环境造成影响很小。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continue"/>
            <w:vAlign w:val="center"/>
          </w:tcPr>
          <w:p>
            <w:pPr>
              <w:rPr>
                <w:rFonts w:hint="default" w:ascii="Times New Roman" w:hAnsi="Times New Roman" w:cs="Times New Roman"/>
                <w:color w:val="auto"/>
                <w:sz w:val="24"/>
                <w:highlight w:val="none"/>
              </w:rPr>
            </w:pP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社会影响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项目建成后</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eastAsia="zh-CN"/>
              </w:rPr>
              <w:t>永久占地对周边的土地资源利用造成一定的影响</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eastAsia="zh-CN"/>
              </w:rPr>
              <w:t>但是工程完工后将有利于提升余姚市公路网络的作用，对树立城市形象、改善城市投资环境、提升城市功能、增强城市吸引力和辐射力，促进经济发展起到先行和推动作用</w:t>
            </w:r>
            <w:r>
              <w:rPr>
                <w:rFonts w:hint="default" w:ascii="Times New Roman" w:hAnsi="Times New Roman" w:cs="Times New Roman"/>
                <w:color w:val="auto"/>
                <w:sz w:val="24"/>
                <w:highlight w:val="none"/>
              </w:rPr>
              <w:t>。</w:t>
            </w:r>
          </w:p>
        </w:tc>
      </w:tr>
    </w:tbl>
    <w:p>
      <w:pPr>
        <w:jc w:val="center"/>
        <w:rPr>
          <w:rFonts w:hint="default" w:ascii="Times New Roman" w:hAnsi="Times New Roman" w:eastAsia="宋体" w:cs="Times New Roman"/>
          <w:b/>
          <w:bCs/>
          <w:color w:val="auto"/>
          <w:sz w:val="24"/>
          <w:highlight w:val="none"/>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24"/>
          <w:highlight w:val="none"/>
        </w:rPr>
        <w:br w:type="page"/>
      </w:r>
    </w:p>
    <w:p>
      <w:pPr>
        <w:pStyle w:val="3"/>
        <w:rPr>
          <w:rFonts w:hint="default" w:ascii="Times New Roman" w:hAnsi="Times New Roman" w:eastAsia="宋体" w:cs="Times New Roman"/>
          <w:bCs/>
          <w:color w:val="auto"/>
          <w:highlight w:val="none"/>
        </w:rPr>
      </w:pPr>
      <w:bookmarkStart w:id="7" w:name="_Toc19233"/>
      <w:r>
        <w:rPr>
          <w:rFonts w:hint="default" w:ascii="Times New Roman" w:hAnsi="Times New Roman" w:cs="Times New Roman"/>
          <w:color w:val="auto"/>
          <w:highlight w:val="none"/>
        </w:rPr>
        <w:t>8 环境质量及污染源监测（附监测图）</w:t>
      </w:r>
      <w:bookmarkEnd w:id="7"/>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2440"/>
        <w:gridCol w:w="1902"/>
        <w:gridCol w:w="1855"/>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p>
        </w:tc>
        <w:tc>
          <w:tcPr>
            <w:tcW w:w="131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监测时间</w:t>
            </w:r>
          </w:p>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监测频次</w:t>
            </w:r>
          </w:p>
        </w:tc>
        <w:tc>
          <w:tcPr>
            <w:tcW w:w="102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监测点位</w:t>
            </w:r>
          </w:p>
        </w:tc>
        <w:tc>
          <w:tcPr>
            <w:tcW w:w="99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监测项目</w:t>
            </w:r>
          </w:p>
        </w:tc>
        <w:tc>
          <w:tcPr>
            <w:tcW w:w="1341"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监测结果分析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生态</w:t>
            </w:r>
          </w:p>
        </w:tc>
        <w:tc>
          <w:tcPr>
            <w:tcW w:w="131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102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99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1341"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w:t>
            </w:r>
          </w:p>
        </w:tc>
        <w:tc>
          <w:tcPr>
            <w:tcW w:w="4680" w:type="pct"/>
            <w:gridSpan w:val="4"/>
            <w:vAlign w:val="center"/>
          </w:tcPr>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本项目废水主要为路面径流。路面径流对环境影响较小</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故考虑不予监测。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气</w:t>
            </w:r>
          </w:p>
        </w:tc>
        <w:tc>
          <w:tcPr>
            <w:tcW w:w="4680" w:type="pct"/>
            <w:gridSpan w:val="4"/>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本项目废气主要为汽车尾气。对周围环境影响较小</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故不予监测。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Merge w:val="restart"/>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w:t>
            </w:r>
          </w:p>
        </w:tc>
        <w:tc>
          <w:tcPr>
            <w:tcW w:w="1314" w:type="pct"/>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2024年1月3日—1月5日、1月8日—1月10日</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昼、夜各</w:t>
            </w:r>
            <w:r>
              <w:rPr>
                <w:rFonts w:hint="default" w:ascii="Times New Roman" w:hAnsi="Times New Roman" w:eastAsia="宋体" w:cs="Times New Roman"/>
                <w:color w:val="auto"/>
                <w:sz w:val="24"/>
                <w:szCs w:val="24"/>
                <w:highlight w:val="none"/>
                <w:lang w:eastAsia="zh-CN"/>
              </w:rPr>
              <w:t>两</w:t>
            </w:r>
            <w:r>
              <w:rPr>
                <w:rFonts w:hint="default" w:ascii="Times New Roman" w:hAnsi="Times New Roman" w:eastAsia="宋体" w:cs="Times New Roman"/>
                <w:color w:val="auto"/>
                <w:sz w:val="24"/>
                <w:szCs w:val="24"/>
                <w:highlight w:val="none"/>
              </w:rPr>
              <w:t>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连续两天</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rPr>
              <w:t>每次监测20min</w:t>
            </w:r>
          </w:p>
        </w:tc>
        <w:tc>
          <w:tcPr>
            <w:tcW w:w="1024" w:type="pct"/>
            <w:vAlign w:val="center"/>
          </w:tcPr>
          <w:p>
            <w:pPr>
              <w:jc w:val="center"/>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highlight w:val="none"/>
              </w:rPr>
              <w:t>共</w:t>
            </w:r>
            <w:r>
              <w:rPr>
                <w:rFonts w:hint="eastAsia"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个</w:t>
            </w:r>
            <w:r>
              <w:rPr>
                <w:rFonts w:hint="default" w:ascii="Times New Roman" w:hAnsi="Times New Roman" w:cs="Times New Roman"/>
                <w:color w:val="auto"/>
                <w:sz w:val="24"/>
                <w:szCs w:val="24"/>
                <w:highlight w:val="none"/>
                <w:lang w:eastAsia="zh-CN"/>
              </w:rPr>
              <w:t>点位</w:t>
            </w:r>
          </w:p>
        </w:tc>
        <w:tc>
          <w:tcPr>
            <w:tcW w:w="999" w:type="pct"/>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w:t>
            </w:r>
          </w:p>
        </w:tc>
        <w:tc>
          <w:tcPr>
            <w:tcW w:w="1341" w:type="pct"/>
            <w:vMerge w:val="restar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根据检测报告数据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均符合声环境质量2类、4a类标准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Merge w:val="continue"/>
            <w:vAlign w:val="center"/>
          </w:tcPr>
          <w:p>
            <w:pPr>
              <w:jc w:val="center"/>
              <w:rPr>
                <w:rFonts w:hint="default" w:ascii="Times New Roman" w:hAnsi="Times New Roman" w:cs="Times New Roman"/>
                <w:color w:val="auto"/>
                <w:sz w:val="24"/>
                <w:szCs w:val="24"/>
                <w:highlight w:val="none"/>
              </w:rPr>
            </w:pPr>
          </w:p>
        </w:tc>
        <w:tc>
          <w:tcPr>
            <w:tcW w:w="1314" w:type="pct"/>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2024年1月</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日—1月</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日</w:t>
            </w:r>
          </w:p>
          <w:p>
            <w:pPr>
              <w:pStyle w:val="18"/>
              <w:jc w:val="center"/>
              <w:rPr>
                <w:rFonts w:hint="default" w:ascii="Times New Roman" w:hAnsi="Times New Roman" w:cs="Times New Roman"/>
                <w:color w:val="auto"/>
                <w:sz w:val="24"/>
                <w:szCs w:val="24"/>
                <w:highlight w:val="none"/>
              </w:rPr>
            </w:pPr>
            <w:r>
              <w:rPr>
                <w:rStyle w:val="29"/>
                <w:rFonts w:hint="default" w:ascii="Times New Roman" w:hAnsi="Times New Roman" w:cs="Times New Roman"/>
                <w:color w:val="auto"/>
                <w:sz w:val="24"/>
                <w:szCs w:val="24"/>
                <w:highlight w:val="none"/>
              </w:rPr>
              <w:t>24h</w:t>
            </w:r>
            <w:r>
              <w:rPr>
                <w:rStyle w:val="30"/>
                <w:rFonts w:hint="default" w:ascii="Times New Roman" w:hAnsi="Times New Roman" w:cs="Times New Roman"/>
                <w:color w:val="auto"/>
                <w:sz w:val="24"/>
                <w:szCs w:val="24"/>
                <w:highlight w:val="none"/>
              </w:rPr>
              <w:t>连续监测</w:t>
            </w:r>
            <w:r>
              <w:rPr>
                <w:rStyle w:val="30"/>
                <w:rFonts w:hint="eastAsia" w:ascii="Times New Roman" w:hAnsi="Times New Roman" w:eastAsia="宋体" w:cs="Times New Roman"/>
                <w:color w:val="auto"/>
                <w:sz w:val="24"/>
                <w:szCs w:val="24"/>
                <w:highlight w:val="none"/>
                <w:lang w:eastAsia="zh-CN"/>
              </w:rPr>
              <w:t>，</w:t>
            </w:r>
            <w:r>
              <w:rPr>
                <w:rStyle w:val="30"/>
                <w:rFonts w:hint="default" w:ascii="Times New Roman" w:hAnsi="Times New Roman" w:cs="Times New Roman"/>
                <w:color w:val="auto"/>
                <w:sz w:val="24"/>
                <w:szCs w:val="24"/>
                <w:highlight w:val="none"/>
              </w:rPr>
              <w:t>监测</w:t>
            </w:r>
            <w:r>
              <w:rPr>
                <w:rStyle w:val="29"/>
                <w:rFonts w:hint="default" w:ascii="Times New Roman" w:hAnsi="Times New Roman" w:cs="Times New Roman"/>
                <w:color w:val="auto"/>
                <w:sz w:val="24"/>
                <w:szCs w:val="24"/>
                <w:highlight w:val="none"/>
              </w:rPr>
              <w:t>1d</w:t>
            </w:r>
          </w:p>
        </w:tc>
        <w:tc>
          <w:tcPr>
            <w:tcW w:w="1024" w:type="pct"/>
            <w:vAlign w:val="center"/>
          </w:tcPr>
          <w:p>
            <w:pPr>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1个点位</w:t>
            </w:r>
          </w:p>
        </w:tc>
        <w:tc>
          <w:tcPr>
            <w:tcW w:w="999" w:type="pct"/>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w:t>
            </w:r>
            <w:r>
              <w:rPr>
                <w:rFonts w:hint="eastAsia" w:ascii="Times New Roman" w:hAnsi="Times New Roman" w:cs="Times New Roman"/>
                <w:color w:val="auto"/>
                <w:sz w:val="24"/>
                <w:szCs w:val="24"/>
                <w:highlight w:val="none"/>
                <w:lang w:eastAsia="zh-CN"/>
              </w:rPr>
              <w:t>，</w:t>
            </w:r>
            <w:r>
              <w:rPr>
                <w:rStyle w:val="29"/>
                <w:rFonts w:hint="default" w:ascii="Times New Roman" w:hAnsi="Times New Roman" w:eastAsia="宋体" w:cs="Times New Roman"/>
                <w:color w:val="auto"/>
                <w:sz w:val="24"/>
                <w:szCs w:val="24"/>
                <w:highlight w:val="none"/>
                <w:lang w:eastAsia="zh-CN"/>
              </w:rPr>
              <w:t>监测同时记录车流量</w:t>
            </w:r>
          </w:p>
        </w:tc>
        <w:tc>
          <w:tcPr>
            <w:tcW w:w="1341" w:type="pct"/>
            <w:vMerge w:val="continue"/>
            <w:vAlign w:val="center"/>
          </w:tcPr>
          <w:p>
            <w:pPr>
              <w:jc w:val="center"/>
              <w:rPr>
                <w:rFonts w:hint="default" w:ascii="Times New Roman" w:hAnsi="Times New Roman" w:cs="Times New Roman"/>
                <w:color w:val="auto"/>
                <w:sz w:val="24"/>
                <w:highlight w:val="none"/>
              </w:rPr>
            </w:pPr>
          </w:p>
        </w:tc>
      </w:tr>
    </w:tbl>
    <w:p>
      <w:pPr>
        <w:rPr>
          <w:rFonts w:hint="default" w:ascii="Times New Roman" w:hAnsi="Times New Roman" w:eastAsia="宋体" w:cs="Times New Roman"/>
          <w:b/>
          <w:bCs/>
          <w:color w:val="auto"/>
          <w:sz w:val="24"/>
          <w:highlight w:val="none"/>
        </w:rPr>
      </w:pPr>
    </w:p>
    <w:p>
      <w:pP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br w:type="page"/>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0" w:hRule="atLeast"/>
        </w:trPr>
        <w:tc>
          <w:tcPr>
            <w:tcW w:w="5000" w:type="pct"/>
          </w:tcPr>
          <w:p>
            <w:pPr>
              <w:spacing w:line="360" w:lineRule="auto"/>
              <w:jc w:val="center"/>
              <w:rPr>
                <w:rFonts w:hint="eastAsia" w:ascii="Times New Roman" w:hAnsi="Times New Roman" w:cs="Times New Roman"/>
                <w:b/>
                <w:bCs/>
                <w:color w:val="auto"/>
                <w:sz w:val="21"/>
                <w:szCs w:val="21"/>
                <w:highlight w:val="none"/>
                <w:lang w:val="en-US" w:eastAsia="zh-CN"/>
              </w:rPr>
            </w:pPr>
            <w:bookmarkStart w:id="8" w:name="_Toc22261"/>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-1</w:t>
            </w:r>
            <w:r>
              <w:rPr>
                <w:rFonts w:hint="eastAsia" w:ascii="Times New Roman" w:hAnsi="Times New Roman" w:cs="Times New Roman"/>
                <w:b/>
                <w:bCs/>
                <w:color w:val="auto"/>
                <w:sz w:val="21"/>
                <w:szCs w:val="21"/>
                <w:highlight w:val="none"/>
                <w:lang w:val="en-US" w:eastAsia="zh-CN"/>
              </w:rPr>
              <w:t xml:space="preserve"> 余梁公路北延工程I、II标段工程监测布点方案</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55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点位</w:t>
                  </w:r>
                </w:p>
              </w:tc>
              <w:tc>
                <w:tcPr>
                  <w:tcW w:w="1962"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位置</w:t>
                  </w:r>
                </w:p>
              </w:tc>
              <w:tc>
                <w:tcPr>
                  <w:tcW w:w="1250"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检测内容</w:t>
                  </w:r>
                </w:p>
              </w:tc>
              <w:tc>
                <w:tcPr>
                  <w:tcW w:w="1250"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1#</w:t>
                  </w:r>
                </w:p>
              </w:tc>
              <w:tc>
                <w:tcPr>
                  <w:tcW w:w="1962"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牛轭漕道路红线范围35米内</w:t>
                  </w:r>
                </w:p>
              </w:tc>
              <w:tc>
                <w:tcPr>
                  <w:tcW w:w="1250" w:type="pct"/>
                  <w:vMerge w:val="restart"/>
                  <w:vAlign w:val="center"/>
                </w:tcPr>
                <w:p>
                  <w:pPr>
                    <w:jc w:val="center"/>
                    <w:rPr>
                      <w:rFonts w:hint="default" w:eastAsiaTheme="minorEastAsia"/>
                      <w:sz w:val="24"/>
                      <w:szCs w:val="24"/>
                      <w:vertAlign w:val="baseline"/>
                      <w:lang w:val="en-US" w:eastAsia="zh-CN"/>
                    </w:rPr>
                  </w:pPr>
                  <w:r>
                    <w:rPr>
                      <w:rFonts w:hint="default" w:eastAsiaTheme="minorEastAsia"/>
                      <w:sz w:val="24"/>
                      <w:szCs w:val="24"/>
                      <w:vertAlign w:val="baseline"/>
                      <w:lang w:val="en-US" w:eastAsia="zh-CN"/>
                    </w:rPr>
                    <w:t>监测2d，每天昼间监测2次，夜间监测2次（22：00～24：00和24：00～06：00），每次监测2</w:t>
                  </w:r>
                  <w:r>
                    <w:rPr>
                      <w:rFonts w:hint="eastAsia"/>
                      <w:sz w:val="24"/>
                      <w:szCs w:val="24"/>
                      <w:vertAlign w:val="baseline"/>
                      <w:lang w:val="en-US" w:eastAsia="zh-CN"/>
                    </w:rPr>
                    <w:t>0</w:t>
                  </w:r>
                  <w:r>
                    <w:rPr>
                      <w:rFonts w:hint="default" w:eastAsiaTheme="minorEastAsia"/>
                      <w:sz w:val="24"/>
                      <w:szCs w:val="24"/>
                      <w:vertAlign w:val="baseline"/>
                      <w:lang w:val="en-US" w:eastAsia="zh-CN"/>
                    </w:rPr>
                    <w:t>min</w:t>
                  </w:r>
                </w:p>
              </w:tc>
              <w:tc>
                <w:tcPr>
                  <w:tcW w:w="1250"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2#</w:t>
                  </w:r>
                </w:p>
              </w:tc>
              <w:tc>
                <w:tcPr>
                  <w:tcW w:w="1962"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牛轭漕道路红线范围35米外</w:t>
                  </w:r>
                </w:p>
              </w:tc>
              <w:tc>
                <w:tcPr>
                  <w:tcW w:w="1250" w:type="pct"/>
                  <w:vMerge w:val="continue"/>
                  <w:vAlign w:val="center"/>
                </w:tcPr>
                <w:p>
                  <w:pPr>
                    <w:jc w:val="center"/>
                    <w:rPr>
                      <w:rFonts w:hint="eastAsia" w:eastAsiaTheme="minorEastAsia"/>
                      <w:sz w:val="24"/>
                      <w:szCs w:val="24"/>
                      <w:vertAlign w:val="baseline"/>
                      <w:lang w:eastAsia="zh-CN"/>
                    </w:rPr>
                  </w:pPr>
                </w:p>
              </w:tc>
              <w:tc>
                <w:tcPr>
                  <w:tcW w:w="1250"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3#</w:t>
                  </w:r>
                </w:p>
              </w:tc>
              <w:tc>
                <w:tcPr>
                  <w:tcW w:w="1962"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丰杨河村道路红线范围35米内</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4#</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丰杨河村道路红线范围35米外</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5#</w:t>
                  </w:r>
                </w:p>
              </w:tc>
              <w:tc>
                <w:tcPr>
                  <w:tcW w:w="1962"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丰云佳苑1层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6#</w:t>
                  </w:r>
                </w:p>
              </w:tc>
              <w:tc>
                <w:tcPr>
                  <w:tcW w:w="1962"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丰云佳苑3层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7#</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丰云佳苑5层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8#</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丰云佳苑9层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9#</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舜辰老年公寓1层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10#</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舜辰老年公寓3层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11#</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舜辰老年公寓5层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12#</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舜辰老年公寓9层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13#</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丰南村道路红线范围35米内</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14#</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丰南村道路红线范围35米外</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15#</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群立村道路红线范围35米内</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16#</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群立村道路红线范围35米外</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17#</w:t>
                  </w:r>
                </w:p>
              </w:tc>
              <w:tc>
                <w:tcPr>
                  <w:tcW w:w="1962"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断面1距离公路中间线40米</w:t>
                  </w:r>
                </w:p>
              </w:tc>
              <w:tc>
                <w:tcPr>
                  <w:tcW w:w="1250" w:type="pct"/>
                  <w:vMerge w:val="restart"/>
                  <w:vAlign w:val="center"/>
                </w:tcPr>
                <w:p>
                  <w:pPr>
                    <w:jc w:val="center"/>
                    <w:rPr>
                      <w:rFonts w:hint="eastAsia"/>
                      <w:sz w:val="24"/>
                      <w:szCs w:val="24"/>
                      <w:vertAlign w:val="baseline"/>
                      <w:lang w:val="en-US" w:eastAsia="zh-CN"/>
                    </w:rPr>
                  </w:pPr>
                  <w:r>
                    <w:rPr>
                      <w:rFonts w:hint="default" w:eastAsiaTheme="minorEastAsia"/>
                      <w:sz w:val="24"/>
                      <w:szCs w:val="24"/>
                      <w:vertAlign w:val="baseline"/>
                      <w:lang w:val="en-US" w:eastAsia="zh-CN"/>
                    </w:rPr>
                    <w:t>监测2d，每天昼间监测2次，夜间监测2次，每次监测2</w:t>
                  </w:r>
                  <w:r>
                    <w:rPr>
                      <w:rFonts w:hint="eastAsia"/>
                      <w:sz w:val="24"/>
                      <w:szCs w:val="24"/>
                      <w:vertAlign w:val="baseline"/>
                      <w:lang w:val="en-US" w:eastAsia="zh-CN"/>
                    </w:rPr>
                    <w:t>0</w:t>
                  </w:r>
                  <w:r>
                    <w:rPr>
                      <w:rFonts w:hint="default" w:eastAsiaTheme="minorEastAsia"/>
                      <w:sz w:val="24"/>
                      <w:szCs w:val="24"/>
                      <w:vertAlign w:val="baseline"/>
                      <w:lang w:val="en-US" w:eastAsia="zh-CN"/>
                    </w:rPr>
                    <w:t>min</w:t>
                  </w: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18#</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断面1距离公路中间线60米</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19#</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断面1距离公路中间线80米</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20#</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断面1距离公路中间线120米</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21#</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断面1距离公路中间线200米</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22#</w:t>
                  </w:r>
                </w:p>
              </w:tc>
              <w:tc>
                <w:tcPr>
                  <w:tcW w:w="1962"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24h监控点</w:t>
                  </w:r>
                </w:p>
              </w:tc>
              <w:tc>
                <w:tcPr>
                  <w:tcW w:w="1250" w:type="pct"/>
                  <w:vAlign w:val="center"/>
                </w:tcPr>
                <w:p>
                  <w:pPr>
                    <w:jc w:val="center"/>
                    <w:rPr>
                      <w:rFonts w:hint="eastAsia" w:eastAsia="宋体"/>
                      <w:sz w:val="24"/>
                      <w:szCs w:val="24"/>
                      <w:vertAlign w:val="baseline"/>
                      <w:lang w:val="en-US" w:eastAsia="zh-CN"/>
                    </w:rPr>
                  </w:pPr>
                  <w:r>
                    <w:rPr>
                      <w:rStyle w:val="29"/>
                      <w:sz w:val="24"/>
                      <w:szCs w:val="24"/>
                    </w:rPr>
                    <w:t>24h</w:t>
                  </w:r>
                  <w:r>
                    <w:rPr>
                      <w:rStyle w:val="30"/>
                      <w:sz w:val="24"/>
                      <w:szCs w:val="24"/>
                    </w:rPr>
                    <w:t>连续监测，监测</w:t>
                  </w:r>
                  <w:r>
                    <w:rPr>
                      <w:rStyle w:val="29"/>
                      <w:sz w:val="24"/>
                      <w:szCs w:val="24"/>
                    </w:rPr>
                    <w:t>1d</w:t>
                  </w:r>
                  <w:r>
                    <w:rPr>
                      <w:rStyle w:val="29"/>
                      <w:rFonts w:hint="eastAsia" w:eastAsia="宋体"/>
                      <w:sz w:val="24"/>
                      <w:szCs w:val="24"/>
                      <w:lang w:eastAsia="zh-CN"/>
                    </w:rPr>
                    <w:t>，监测同时记录车流量，按大、中、小型车分类统计，必要时增加摩托车、拖拉机的统计类别。</w:t>
                  </w: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4a类</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b/>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eastAsia" w:ascii="宋体" w:hAnsi="宋体" w:eastAsia="宋体"/>
                <w:b/>
                <w:sz w:val="24"/>
                <w:szCs w:val="24"/>
                <w:lang w:val="en-US" w:eastAsia="zh-CN"/>
              </w:rPr>
              <w:object>
                <v:shape id="_x0000_i1025" o:spt="75" type="#_x0000_t75" style="height:331.1pt;width:395.45pt;" o:ole="t" filled="f" o:preferrelative="t" stroked="f" coordsize="21600,21600">
                  <v:path/>
                  <v:fill on="f" focussize="0,0"/>
                  <v:stroke on="f"/>
                  <v:imagedata r:id="rId19" o:title=""/>
                  <o:lock v:ext="edit" aspectratio="f"/>
                  <w10:wrap type="none"/>
                  <w10:anchorlock/>
                </v:shape>
                <o:OLEObject Type="Embed" ProgID="Visio.Drawing.11" ShapeID="_x0000_i1025" DrawAspect="Content" ObjectID="_1468075725"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图</w:t>
            </w:r>
            <w:r>
              <w:rPr>
                <w:rFonts w:hint="default" w:ascii="Times New Roman" w:hAnsi="Times New Roman" w:cs="Times New Roman"/>
                <w:b/>
                <w:bCs/>
                <w:color w:val="auto"/>
                <w:sz w:val="21"/>
                <w:szCs w:val="21"/>
                <w:highlight w:val="none"/>
                <w:lang w:val="en-US" w:eastAsia="zh-CN"/>
              </w:rPr>
              <w:t>8-1 检测布点示意图</w:t>
            </w:r>
          </w:p>
          <w:p>
            <w:pPr>
              <w:spacing w:line="360" w:lineRule="auto"/>
              <w:jc w:val="center"/>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2 </w:t>
            </w:r>
            <w:r>
              <w:rPr>
                <w:rFonts w:hint="default" w:ascii="Times New Roman" w:hAnsi="Times New Roman" w:cs="Times New Roman"/>
                <w:b/>
                <w:bCs/>
                <w:color w:val="auto"/>
                <w:sz w:val="21"/>
                <w:szCs w:val="21"/>
                <w:highlight w:val="none"/>
              </w:rPr>
              <w:t>噪声检测结果</w:t>
            </w:r>
            <w:r>
              <w:rPr>
                <w:rFonts w:hint="eastAsia" w:ascii="Times New Roman" w:hAnsi="Times New Roman" w:cs="Times New Roman"/>
                <w:b/>
                <w:bCs/>
                <w:color w:val="auto"/>
                <w:sz w:val="21"/>
                <w:szCs w:val="21"/>
                <w:highlight w:val="none"/>
                <w:lang w:val="en-US" w:eastAsia="zh-CN"/>
              </w:rPr>
              <w:t>1</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8"/>
              <w:gridCol w:w="2396"/>
              <w:gridCol w:w="899"/>
              <w:gridCol w:w="807"/>
              <w:gridCol w:w="712"/>
              <w:gridCol w:w="714"/>
              <w:gridCol w:w="899"/>
              <w:gridCol w:w="807"/>
              <w:gridCol w:w="712"/>
              <w:gridCol w:w="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序号</w:t>
                  </w:r>
                </w:p>
              </w:tc>
              <w:tc>
                <w:tcPr>
                  <w:tcW w:w="1322"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检测点位置</w:t>
                  </w:r>
                </w:p>
              </w:tc>
              <w:tc>
                <w:tcPr>
                  <w:tcW w:w="1728"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宋体" w:cs="宋体"/>
                      <w:sz w:val="21"/>
                      <w:szCs w:val="21"/>
                      <w:lang w:val="en-US" w:eastAsia="zh-CN"/>
                    </w:rPr>
                    <w:t>昼间</w:t>
                  </w:r>
                  <w:r>
                    <w:rPr>
                      <w:rFonts w:ascii="Times New Roman" w:hAnsi="Times New Roman"/>
                      <w:sz w:val="21"/>
                      <w:szCs w:val="21"/>
                    </w:rPr>
                    <w:t>Leq dB（A）</w:t>
                  </w:r>
                </w:p>
              </w:tc>
              <w:tc>
                <w:tcPr>
                  <w:tcW w:w="1728"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宋体" w:cs="宋体"/>
                      <w:sz w:val="21"/>
                      <w:szCs w:val="21"/>
                      <w:lang w:val="en-US" w:eastAsia="zh-CN"/>
                    </w:rPr>
                  </w:pPr>
                  <w:r>
                    <w:rPr>
                      <w:rFonts w:hint="eastAsia" w:ascii="Times New Roman" w:hAnsi="宋体" w:cs="宋体"/>
                      <w:sz w:val="21"/>
                      <w:szCs w:val="21"/>
                      <w:lang w:val="en-US" w:eastAsia="zh-CN"/>
                    </w:rPr>
                    <w:t>夜间</w:t>
                  </w:r>
                  <w:r>
                    <w:rPr>
                      <w:rFonts w:ascii="Times New Roman" w:hAnsi="Times New Roman"/>
                      <w:sz w:val="21"/>
                      <w:szCs w:val="21"/>
                    </w:rPr>
                    <w:t>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p>
              </w:tc>
              <w:tc>
                <w:tcPr>
                  <w:tcW w:w="1322"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p>
              </w:tc>
              <w:tc>
                <w:tcPr>
                  <w:tcW w:w="496"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检测日期</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检测时间</w:t>
                  </w:r>
                </w:p>
              </w:tc>
              <w:tc>
                <w:tcPr>
                  <w:tcW w:w="39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检测结果</w:t>
                  </w:r>
                </w:p>
              </w:tc>
              <w:tc>
                <w:tcPr>
                  <w:tcW w:w="39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标准限值</w:t>
                  </w:r>
                </w:p>
              </w:tc>
              <w:tc>
                <w:tcPr>
                  <w:tcW w:w="496"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检测日期</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检测时间</w:t>
                  </w:r>
                </w:p>
              </w:tc>
              <w:tc>
                <w:tcPr>
                  <w:tcW w:w="39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检测结果</w:t>
                  </w:r>
                </w:p>
              </w:tc>
              <w:tc>
                <w:tcPr>
                  <w:tcW w:w="39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5#丰云佳苑1幢1层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15:04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bidi="ar-SA"/>
                    </w:rPr>
                    <w:t>58</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2024.1.3</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23:34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bidi="ar-SA"/>
                    </w:rPr>
                    <w:t>47</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6#丰云佳苑1幢3层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15:30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23:34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bidi="ar-SA"/>
                    </w:rPr>
                    <w:t>47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7#丰云佳苑1幢5层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15:35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23:38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8#丰云佳苑1幢8层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15:38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23:36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rPr>
                    <w:t>49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5#丰云佳苑1幢1层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15:37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6#丰云佳苑1幢3层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15:58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00:03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7#丰云佳苑1幢5层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15:59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bidi="ar-SA"/>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bidi="ar-SA"/>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8#丰云佳苑1幢8层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15:59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bidi="ar-SA"/>
                    </w:rPr>
                    <w:t>47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2</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13#丰南村道路红线范围35米内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22:49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14#丰南村道路红线范围35米外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15#群立村道路红线范围35米内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17:04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16#群立村道路红线范围35米外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23:00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13#丰南村道路红线范围35米内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16:43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00:34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14#丰南村道路红线范围35米外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16:46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15#群立村道路红线范围35米内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18:02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70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16#群立村道路红线范围35米外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17:44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00:29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17#断面1距离公路中间线40米</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2024.1.3</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18#断面1距离公路中间线60米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22:01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19#断面1距离公路中间线80米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20#断面1距离公路中间线120米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21#断面1距离公路中间线200米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17#断面1距离公路中间线40米</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18#断面1距离公路中间线60米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19#断面1距离公路中间线80米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20#断面1距离公路中间线120米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1:24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21#断面1距离公路中间线200米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1:29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45</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17#断面1距离公路中间线40米</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22:10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18#断面1距离公路中间线60米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19#断面1距离公路中间线80米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22:14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20#断面1距离公路中间线120米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21#断面1距离公路中间线200米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22:14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45</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17#断面1距离公路中间线40米</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60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2024.1.5</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18#断面1距离公路中间线60米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10:18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19#断面1距离公路中间线80米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10:18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20#断面1距离公路中间线120米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10:17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21#断面1距离公路中间线200米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5#丰云佳苑1幢1层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11:06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6#丰云佳苑1幢3层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11:08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23:25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7#丰云佳苑1幢5层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11:10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23:25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8#丰云佳苑1幢8层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11:08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23:24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5#丰云佳苑1幢1层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2024.1.5</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6#丰云佳苑1幢3层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7#丰云佳苑1幢5层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8#丰云佳苑1幢8层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13#丰南村道路红线范围35米内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14:03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22:46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14#丰南村道路红线范围35米外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15#群立村道路红线范围35米内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16#群立村道路红线范围35米外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13#丰南村道路红线范围35米内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2024.1.5</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14#丰南村道路红线范围35米外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14:48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15#群立村道路红线范围35米内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14:20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16#群立村道路红线范围35米外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00:41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542" w:type="pct"/>
                  <w:gridSpan w:val="2"/>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w:t>
                  </w:r>
                  <w:r>
                    <w:rPr>
                      <w:rFonts w:ascii="Times New Roman" w:hAnsi="Times New Roman" w:eastAsia="宋体"/>
                      <w:sz w:val="21"/>
                      <w:szCs w:val="21"/>
                    </w:rPr>
                    <w:t>时气象条件</w:t>
                  </w:r>
                </w:p>
              </w:tc>
              <w:tc>
                <w:tcPr>
                  <w:tcW w:w="3457" w:type="pct"/>
                  <w:gridSpan w:val="8"/>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天气</w:t>
                  </w:r>
                  <w:r>
                    <w:rPr>
                      <w:rFonts w:hint="eastAsia" w:ascii="Times New Roman" w:hAnsi="Times New Roman" w:eastAsia="宋体"/>
                      <w:sz w:val="21"/>
                      <w:szCs w:val="21"/>
                      <w:lang w:val="en-US" w:eastAsia="zh-CN"/>
                    </w:rPr>
                    <w:t>多云</w:t>
                  </w:r>
                  <w:r>
                    <w:rPr>
                      <w:rFonts w:ascii="Times New Roman" w:hAnsi="Times New Roman" w:eastAsia="宋体"/>
                      <w:sz w:val="21"/>
                      <w:szCs w:val="21"/>
                    </w:rPr>
                    <w:t>，风速&lt;5m/s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10"/>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both"/>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执行标准：《声环境质量标准》（GB 3096-2008）2类、4a类。</w:t>
                  </w:r>
                </w:p>
              </w:tc>
            </w:tr>
          </w:tbl>
          <w:p>
            <w:pPr>
              <w:spacing w:line="360" w:lineRule="auto"/>
              <w:jc w:val="center"/>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3 </w:t>
            </w:r>
            <w:r>
              <w:rPr>
                <w:rFonts w:hint="default" w:ascii="Times New Roman" w:hAnsi="Times New Roman" w:cs="Times New Roman"/>
                <w:b/>
                <w:bCs/>
                <w:color w:val="auto"/>
                <w:sz w:val="21"/>
                <w:szCs w:val="21"/>
                <w:highlight w:val="none"/>
              </w:rPr>
              <w:t>噪声检测结果</w:t>
            </w:r>
            <w:r>
              <w:rPr>
                <w:rFonts w:hint="eastAsia" w:ascii="Times New Roman" w:hAnsi="Times New Roman" w:cs="Times New Roman"/>
                <w:b/>
                <w:bCs/>
                <w:color w:val="auto"/>
                <w:sz w:val="21"/>
                <w:szCs w:val="21"/>
                <w:highlight w:val="none"/>
                <w:lang w:val="en-US" w:eastAsia="zh-CN"/>
              </w:rPr>
              <w:t>2</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5"/>
              <w:gridCol w:w="2381"/>
              <w:gridCol w:w="899"/>
              <w:gridCol w:w="805"/>
              <w:gridCol w:w="707"/>
              <w:gridCol w:w="710"/>
              <w:gridCol w:w="937"/>
              <w:gridCol w:w="805"/>
              <w:gridCol w:w="709"/>
              <w:gridCol w:w="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序号</w:t>
                  </w:r>
                </w:p>
              </w:tc>
              <w:tc>
                <w:tcPr>
                  <w:tcW w:w="1313"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检测点位置</w:t>
                  </w:r>
                </w:p>
              </w:tc>
              <w:tc>
                <w:tcPr>
                  <w:tcW w:w="1722"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宋体" w:cs="宋体"/>
                      <w:sz w:val="21"/>
                      <w:szCs w:val="21"/>
                      <w:lang w:val="en-US" w:eastAsia="zh-CN"/>
                    </w:rPr>
                    <w:t>昼间</w:t>
                  </w:r>
                  <w:r>
                    <w:rPr>
                      <w:rFonts w:ascii="Times New Roman" w:hAnsi="Times New Roman"/>
                      <w:sz w:val="21"/>
                      <w:szCs w:val="21"/>
                    </w:rPr>
                    <w:t>Leq dB（A）</w:t>
                  </w:r>
                </w:p>
              </w:tc>
              <w:tc>
                <w:tcPr>
                  <w:tcW w:w="1745"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宋体" w:cs="宋体"/>
                      <w:sz w:val="21"/>
                      <w:szCs w:val="21"/>
                      <w:lang w:val="en-US" w:eastAsia="zh-CN"/>
                    </w:rPr>
                  </w:pPr>
                  <w:r>
                    <w:rPr>
                      <w:rFonts w:hint="eastAsia" w:ascii="Times New Roman" w:hAnsi="宋体" w:cs="宋体"/>
                      <w:sz w:val="21"/>
                      <w:szCs w:val="21"/>
                      <w:lang w:val="en-US" w:eastAsia="zh-CN"/>
                    </w:rPr>
                    <w:t>夜间</w:t>
                  </w:r>
                  <w:r>
                    <w:rPr>
                      <w:rFonts w:ascii="Times New Roman" w:hAnsi="Times New Roman"/>
                      <w:sz w:val="21"/>
                      <w:szCs w:val="21"/>
                    </w:rPr>
                    <w:t>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p>
              </w:tc>
              <w:tc>
                <w:tcPr>
                  <w:tcW w:w="1313"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p>
              </w:tc>
              <w:tc>
                <w:tcPr>
                  <w:tcW w:w="496"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检测日期</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检测时间</w:t>
                  </w:r>
                </w:p>
              </w:tc>
              <w:tc>
                <w:tcPr>
                  <w:tcW w:w="390"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检测结果</w:t>
                  </w:r>
                </w:p>
              </w:tc>
              <w:tc>
                <w:tcPr>
                  <w:tcW w:w="390"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标准限值</w:t>
                  </w:r>
                </w:p>
              </w:tc>
              <w:tc>
                <w:tcPr>
                  <w:tcW w:w="517"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检测日期</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检测时间</w:t>
                  </w:r>
                </w:p>
              </w:tc>
              <w:tc>
                <w:tcPr>
                  <w:tcW w:w="39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检测结果</w:t>
                  </w:r>
                </w:p>
              </w:tc>
              <w:tc>
                <w:tcPr>
                  <w:tcW w:w="39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9#舜辰老年公寓1层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2024.1.8</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39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2024.1.8</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23:14</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10#舜辰老年公寓3层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23:32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11#舜辰老年公寓5层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23:18</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12#舜辰老年公寓9层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12:11</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23:19</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42</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9#舜辰老年公寓1层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2024.1.8</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12:41</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2024.1.9</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00:05</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42</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10#舜辰老年公寓3层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12:38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00:04</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11#舜辰老年公寓5层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12:45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12#舜辰老年公寓9层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12:53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2</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9#舜辰老年公寓1层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10#舜辰老年公寓3层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11#舜辰老年公寓5层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12#舜辰老年公寓9层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10:31</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9#舜辰老年公寓1层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10:42</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2024.1.10</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39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10#舜辰老年公寓3层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10:40</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45</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11#舜辰老年公寓5层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10:40</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46</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12#舜辰老年公寓9层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1#牛轭漕道路红线范围35米内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2024.1.8</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14:31</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2024.1.8</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22:39</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2#牛轭漕道路红线范围35米外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14:33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22:39</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3#丰杨河村道路红线范围35米内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13:38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22:08</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4#丰杨河村道路红线范围35米外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13:36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22:08</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1#牛轭漕道路红线范围35米内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2024.1.8</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14:54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62</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2024.1.9</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2#牛轭漕道路红线范围35米外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14:59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1:00</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3#丰杨河村道路红线范围35米内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00:36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4#丰杨河村道路红线范围35米外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00:35</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44</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1#牛轭漕道路红线范围35米内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12:15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2024.1.9</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22:26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2#牛轭漕道路红线范围35米外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12:14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22:26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3#丰杨河村道路红线范围35米内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11:27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4#丰杨河村道路红线范围35米外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11:26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1#牛轭漕道路红线范围35米内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2024.1.9</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12:37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2024.1.10</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2#牛轭漕道路红线范围35米外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12:36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3#丰杨河村道路红线范围35米内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11:49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00:30</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4#丰杨河村道路红线范围35米外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11:49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00:29</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532" w:type="pct"/>
                  <w:gridSpan w:val="2"/>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w:t>
                  </w:r>
                  <w:r>
                    <w:rPr>
                      <w:rFonts w:ascii="Times New Roman" w:hAnsi="Times New Roman" w:eastAsia="宋体"/>
                      <w:sz w:val="21"/>
                      <w:szCs w:val="21"/>
                    </w:rPr>
                    <w:t>时气象条件</w:t>
                  </w:r>
                </w:p>
              </w:tc>
              <w:tc>
                <w:tcPr>
                  <w:tcW w:w="3467" w:type="pct"/>
                  <w:gridSpan w:val="8"/>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天气</w:t>
                  </w:r>
                  <w:r>
                    <w:rPr>
                      <w:rFonts w:hint="eastAsia" w:ascii="Times New Roman" w:hAnsi="Times New Roman" w:eastAsia="宋体"/>
                      <w:sz w:val="21"/>
                      <w:szCs w:val="21"/>
                      <w:lang w:val="en-US" w:eastAsia="zh-CN"/>
                    </w:rPr>
                    <w:t>晴</w:t>
                  </w:r>
                  <w:r>
                    <w:rPr>
                      <w:rFonts w:ascii="Times New Roman" w:hAnsi="Times New Roman" w:eastAsia="宋体"/>
                      <w:sz w:val="21"/>
                      <w:szCs w:val="21"/>
                    </w:rPr>
                    <w:t>，风速&lt;5m/s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5000" w:type="pct"/>
                  <w:gridSpan w:val="10"/>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both"/>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执行标准：《声环境质量标准》（GB 3096-2008）2类、4a类。</w:t>
                  </w:r>
                </w:p>
              </w:tc>
            </w:tr>
          </w:tbl>
          <w:p>
            <w:pPr>
              <w:spacing w:line="360" w:lineRule="auto"/>
              <w:jc w:val="center"/>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rPr>
              <w:t>噪声检测结果</w:t>
            </w:r>
            <w:r>
              <w:rPr>
                <w:rFonts w:hint="eastAsia" w:ascii="Times New Roman" w:hAnsi="Times New Roman" w:cs="Times New Roman"/>
                <w:b/>
                <w:bCs/>
                <w:color w:val="auto"/>
                <w:sz w:val="21"/>
                <w:szCs w:val="21"/>
                <w:highlight w:val="none"/>
                <w:lang w:val="en-US" w:eastAsia="zh-CN"/>
              </w:rPr>
              <w:t>2</w:t>
            </w:r>
          </w:p>
          <w:tbl>
            <w:tblPr>
              <w:tblStyle w:val="15"/>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8"/>
              <w:gridCol w:w="1315"/>
              <w:gridCol w:w="1052"/>
              <w:gridCol w:w="1052"/>
              <w:gridCol w:w="598"/>
              <w:gridCol w:w="726"/>
              <w:gridCol w:w="598"/>
              <w:gridCol w:w="710"/>
              <w:gridCol w:w="719"/>
              <w:gridCol w:w="701"/>
              <w:gridCol w:w="1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292"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序号</w:t>
                  </w:r>
                </w:p>
              </w:tc>
              <w:tc>
                <w:tcPr>
                  <w:tcW w:w="72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检测点位置</w:t>
                  </w: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检测日期</w:t>
                  </w: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检测时间</w:t>
                  </w:r>
                </w:p>
              </w:tc>
              <w:tc>
                <w:tcPr>
                  <w:tcW w:w="2237" w:type="pct"/>
                  <w:gridSpan w:val="6"/>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sz w:val="21"/>
                      <w:szCs w:val="21"/>
                    </w:rPr>
                  </w:pPr>
                  <w:r>
                    <w:rPr>
                      <w:rFonts w:ascii="Times New Roman" w:hAnsi="Times New Roman"/>
                      <w:sz w:val="21"/>
                      <w:szCs w:val="21"/>
                    </w:rPr>
                    <w:t>测量结果 dB（A）</w:t>
                  </w: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33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10</w:t>
                  </w:r>
                </w:p>
              </w:tc>
              <w:tc>
                <w:tcPr>
                  <w:tcW w:w="40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50</w:t>
                  </w:r>
                </w:p>
              </w:tc>
              <w:tc>
                <w:tcPr>
                  <w:tcW w:w="33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90</w:t>
                  </w:r>
                </w:p>
              </w:tc>
              <w:tc>
                <w:tcPr>
                  <w:tcW w:w="39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Aeq</w:t>
                  </w:r>
                </w:p>
              </w:tc>
              <w:tc>
                <w:tcPr>
                  <w:tcW w:w="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max</w:t>
                  </w:r>
                </w:p>
              </w:tc>
              <w:tc>
                <w:tcPr>
                  <w:tcW w:w="384"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eastAsia" w:ascii="Times New Roman" w:hAnsi="Times New Roman" w:cs="Times New Roman"/>
                      <w:sz w:val="21"/>
                      <w:szCs w:val="21"/>
                      <w:vertAlign w:val="subscript"/>
                      <w:lang w:val="en-US" w:eastAsia="zh-CN"/>
                    </w:rPr>
                    <w:t>min</w:t>
                  </w: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color w:val="000000"/>
                      <w:sz w:val="21"/>
                      <w:szCs w:val="21"/>
                    </w:rPr>
                    <w:t>1</w:t>
                  </w:r>
                </w:p>
              </w:tc>
              <w:tc>
                <w:tcPr>
                  <w:tcW w:w="72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24h监控点</w:t>
                  </w:r>
                </w:p>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22</w:t>
                  </w:r>
                  <w:r>
                    <w:rPr>
                      <w:rFonts w:ascii="Times New Roman" w:hAnsi="Times New Roman" w:eastAsia="宋体"/>
                      <w:color w:val="000000"/>
                      <w:sz w:val="21"/>
                      <w:szCs w:val="21"/>
                    </w:rPr>
                    <w:t>#</w:t>
                  </w: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2024.1.8</w:t>
                  </w: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11:00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55.1</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83.6</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41.5</w:t>
                  </w:r>
                </w:p>
              </w:tc>
              <w:tc>
                <w:tcPr>
                  <w:tcW w:w="58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61.0</w:t>
                  </w:r>
                </w:p>
              </w:tc>
              <w:tc>
                <w:tcPr>
                  <w:tcW w:w="40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54.6</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57.4</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78.5</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42.1</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13:00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60.6</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54.0</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59.2</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82.9</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48.8</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57.6</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55.8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61.9</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81.0</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53.2</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58.6</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56.4</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60.2</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85.2</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53.3</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57.2</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54.0</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57.9</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80.3</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49.0</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rPr>
                    <w:t>17:00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55.2</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59.6</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91.9</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47.9</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56.1</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83.2</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48.2</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19:00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59.0</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65.7</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79.8</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54.5</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57.5</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85.1</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47.5</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21:00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53.0</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78.7</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47.1</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48.8</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62.8</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37.7</w:t>
                  </w:r>
                </w:p>
              </w:tc>
              <w:tc>
                <w:tcPr>
                  <w:tcW w:w="58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rPr>
                    <w:t>23:00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48.7</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78.4</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36.8</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38.6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46.2</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64.9</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36.6</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01:00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37.0</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44.7</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65.8</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35.3</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47.6</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39.2</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44.1</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59.5</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35.3</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44.3</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64.0</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35.1</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04:00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37.4</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45.7</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64.7</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35.4</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rPr>
                    <w:t>05:00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47.4</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53.3</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68.4</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42.5</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06:00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52.9</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62.2</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43.8</w:t>
                  </w:r>
                </w:p>
              </w:tc>
              <w:tc>
                <w:tcPr>
                  <w:tcW w:w="58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07:00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53.2</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61.2</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89.5</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46.9</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08:00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64.0</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62.0</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87.6</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50.0</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09:00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59.3</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85.6</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52.2</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54.2</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59.5</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82.3</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1018" w:type="pct"/>
                  <w:gridSpan w:val="2"/>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w:t>
                  </w:r>
                  <w:r>
                    <w:rPr>
                      <w:rFonts w:ascii="Times New Roman" w:hAnsi="Times New Roman" w:eastAsia="宋体"/>
                      <w:sz w:val="21"/>
                      <w:szCs w:val="21"/>
                    </w:rPr>
                    <w:t>时气象条件</w:t>
                  </w:r>
                </w:p>
              </w:tc>
              <w:tc>
                <w:tcPr>
                  <w:tcW w:w="3981" w:type="pct"/>
                  <w:gridSpan w:val="9"/>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ascii="Times New Roman" w:hAnsi="Times New Roman" w:eastAsia="宋体"/>
                      <w:sz w:val="21"/>
                      <w:szCs w:val="21"/>
                    </w:rPr>
                    <w:t>天气</w:t>
                  </w:r>
                  <w:r>
                    <w:rPr>
                      <w:rFonts w:hint="eastAsia" w:ascii="Times New Roman" w:hAnsi="Times New Roman" w:eastAsia="宋体"/>
                      <w:sz w:val="21"/>
                      <w:szCs w:val="21"/>
                      <w:lang w:val="en-US" w:eastAsia="zh-CN"/>
                    </w:rPr>
                    <w:t>多云</w:t>
                  </w:r>
                  <w:r>
                    <w:rPr>
                      <w:rFonts w:ascii="Times New Roman" w:hAnsi="Times New Roman" w:eastAsia="宋体"/>
                      <w:sz w:val="21"/>
                      <w:szCs w:val="21"/>
                    </w:rPr>
                    <w:t>，风速&lt;5m/s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5000" w:type="pct"/>
                  <w:gridSpan w:val="11"/>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both"/>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执行标准：《声环境质量标准》（GB 3096-2008）4a类。</w:t>
                  </w:r>
                </w:p>
              </w:tc>
            </w:tr>
          </w:tbl>
          <w:p>
            <w:pPr>
              <w:pStyle w:val="2"/>
              <w:rPr>
                <w:rFonts w:hint="eastAsia"/>
                <w:lang w:val="en-US" w:eastAsia="zh-CN"/>
              </w:rPr>
            </w:pP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从监测结果来看</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工程所在区域周围道路附近声环境符合《声环境质量标准》（GB3096-2008）中的2、4a类标准。</w:t>
            </w:r>
          </w:p>
        </w:tc>
      </w:tr>
    </w:tbl>
    <w:p>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9 环境管理状况及监测计划</w:t>
      </w:r>
      <w:bookmarkEnd w:id="8"/>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5000" w:type="pct"/>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环境管理机构设置（分施工期和运行期）</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施工期环保管理工作由施工单位项目经理部综合办公室负责</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该办公室配备了环保员</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其主要职责包括对施工期环保设施进行检查和维护</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负责施工过程中的管理工作</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收集附近居民、单位对本工程施工的意见。</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工程立项至试运营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有关工程环评文件、环保部门审批文件、等档案资料存档完善。工程试运营期间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按《建设项目竣工环境保护管理规定》委托有资质单位进行工程竣工环境保护验收。本工程执行了环境影响评价制度及“三同时”制度。施工及试运行期间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未发现有环境污染和扰民事件发生。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trPr>
        <w:tc>
          <w:tcPr>
            <w:tcW w:w="5000" w:type="pct"/>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环境监测能力建设情况</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本项目属于道路项目</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未进行环境监测能力方面的建设。监测工作将委托有资质的监测单位进行。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5000" w:type="pct"/>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环境影响报告表中提出的监测计划及其落实情况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环境影响报告表中未提出监测计划。</w:t>
            </w:r>
            <w:r>
              <w:rPr>
                <w:rFonts w:hint="default" w:ascii="Times New Roman" w:hAnsi="Times New Roman" w:cs="Times New Roman"/>
                <w:color w:val="auto"/>
                <w:sz w:val="24"/>
                <w:szCs w:val="24"/>
                <w:highlight w:val="none"/>
                <w:lang w:eastAsia="zh-CN"/>
              </w:rPr>
              <w:t>本次验收</w:t>
            </w:r>
            <w:r>
              <w:rPr>
                <w:rFonts w:hint="default" w:ascii="Times New Roman" w:hAnsi="Times New Roman" w:eastAsia="宋体" w:cs="Times New Roman"/>
                <w:color w:val="auto"/>
                <w:sz w:val="24"/>
                <w:szCs w:val="24"/>
                <w:highlight w:val="none"/>
              </w:rPr>
              <w:t>阶段进行了声环境影响监测。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结合项目所在地环境影响的特点和现有监测能力</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建议在项目营运期要加强环境保护跟踪监测工作</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进行声环境的常规监测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掌握道路沿线环境状况</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以便在适当时候采取进一步的防护措施。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5000" w:type="pct"/>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环境管理状况分析与建议</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在项目施工期</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建设单位整个施工期中未发生环境污染事故</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环保投诉情况</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整个项目施工期对环境的影响也经采取的环保措施得到了较大的削减</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未对周围环境造成明显不良影响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环境管理工作基本满足环境管理要求。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本项目营运期的环境管理工作将由</w:t>
            </w:r>
            <w:r>
              <w:rPr>
                <w:rFonts w:hint="default" w:ascii="Times New Roman" w:hAnsi="Times New Roman" w:cs="Times New Roman"/>
                <w:color w:val="auto"/>
                <w:sz w:val="24"/>
                <w:szCs w:val="24"/>
                <w:highlight w:val="none"/>
                <w:lang w:eastAsia="zh-CN"/>
              </w:rPr>
              <w:t>市政部门及</w:t>
            </w:r>
            <w:r>
              <w:rPr>
                <w:rFonts w:hint="default" w:ascii="Times New Roman" w:hAnsi="Times New Roman" w:cs="Times New Roman"/>
                <w:color w:val="auto"/>
                <w:sz w:val="24"/>
                <w:szCs w:val="24"/>
                <w:highlight w:val="none"/>
              </w:rPr>
              <w:t>环卫部门完成</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落实了环评文件及其批复提出的各项环境管理措施要求。基本符合环境管理要求</w:t>
            </w:r>
            <w:r>
              <w:rPr>
                <w:rFonts w:hint="default" w:ascii="Times New Roman" w:hAnsi="Times New Roman" w:cs="Times New Roman"/>
                <w:color w:val="auto"/>
                <w:sz w:val="24"/>
                <w:szCs w:val="24"/>
                <w:highlight w:val="none"/>
              </w:rPr>
              <w:t>。</w:t>
            </w:r>
          </w:p>
        </w:tc>
      </w:tr>
    </w:tbl>
    <w:p>
      <w:pPr>
        <w:pStyle w:val="3"/>
        <w:rPr>
          <w:rFonts w:hint="default" w:ascii="Times New Roman" w:hAnsi="Times New Roman" w:eastAsia="宋体" w:cs="Times New Roman"/>
          <w:bCs/>
          <w:color w:val="auto"/>
          <w:highlight w:val="none"/>
        </w:rPr>
      </w:pPr>
      <w:bookmarkStart w:id="9" w:name="_Toc7282"/>
      <w:r>
        <w:rPr>
          <w:rFonts w:hint="default" w:ascii="Times New Roman" w:hAnsi="Times New Roman" w:cs="Times New Roman"/>
          <w:color w:val="auto"/>
          <w:highlight w:val="none"/>
        </w:rPr>
        <w:t>10 调查结论与建议</w:t>
      </w:r>
      <w:bookmarkEnd w:id="9"/>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0" w:hRule="atLeast"/>
        </w:trPr>
        <w:tc>
          <w:tcPr>
            <w:tcW w:w="5000" w:type="pct"/>
          </w:tcPr>
          <w:p>
            <w:pP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调查结论及建议：</w:t>
            </w:r>
          </w:p>
          <w:p>
            <w:pPr>
              <w:pStyle w:val="19"/>
              <w:ind w:firstLine="480"/>
              <w:rPr>
                <w:rFonts w:ascii="Times New Roman" w:hAnsi="Times New Roman" w:cs="Times New Roman"/>
              </w:rPr>
            </w:pPr>
            <w:r>
              <w:rPr>
                <w:rFonts w:ascii="Times New Roman" w:hAnsi="Times New Roman" w:cs="Times New Roman"/>
              </w:rPr>
              <w:t>一、项目概况</w:t>
            </w:r>
          </w:p>
          <w:p>
            <w:pPr>
              <w:pStyle w:val="19"/>
              <w:ind w:firstLine="480"/>
              <w:rPr>
                <w:rFonts w:hint="eastAsia" w:ascii="Times New Roman" w:hAnsi="Times New Roman" w:eastAsia="宋体" w:cs="Times New Roman"/>
                <w:lang w:eastAsia="zh-CN"/>
              </w:rPr>
            </w:pPr>
            <w:r>
              <w:rPr>
                <w:rFonts w:ascii="Times New Roman" w:hAnsi="Times New Roman" w:cs="Times New Roman"/>
              </w:rPr>
              <w:t>本</w:t>
            </w:r>
            <w:r>
              <w:rPr>
                <w:rFonts w:hint="eastAsia" w:ascii="Times New Roman" w:hAnsi="Times New Roman" w:cs="Times New Roman"/>
                <w:lang w:val="en-US" w:eastAsia="zh-CN"/>
              </w:rPr>
              <w:t>次</w:t>
            </w:r>
            <w:r>
              <w:rPr>
                <w:rFonts w:ascii="Times New Roman" w:hAnsi="Times New Roman" w:cs="Times New Roman"/>
              </w:rPr>
              <w:t>验收项目为</w:t>
            </w:r>
            <w:r>
              <w:rPr>
                <w:rFonts w:hint="eastAsia" w:ascii="Times New Roman" w:hAnsi="Times New Roman" w:cs="Times New Roman"/>
                <w:lang w:eastAsia="zh-CN"/>
              </w:rPr>
              <w:t>余姚市余梁公路北延工程I、II标段工程</w:t>
            </w:r>
            <w:r>
              <w:rPr>
                <w:rFonts w:ascii="Times New Roman" w:hAnsi="Times New Roman" w:cs="Times New Roman"/>
              </w:rPr>
              <w:t>，该工程</w:t>
            </w:r>
            <w:r>
              <w:rPr>
                <w:rFonts w:hint="default" w:ascii="Times New Roman" w:hAnsi="Times New Roman" w:cs="Times New Roman"/>
                <w:lang w:val="en-US" w:eastAsia="zh-CN"/>
              </w:rPr>
              <w:t>起</w:t>
            </w:r>
            <w:r>
              <w:rPr>
                <w:rFonts w:hint="default" w:ascii="Times New Roman" w:hAnsi="Times New Roman" w:cs="Times New Roman"/>
                <w:color w:val="auto"/>
                <w:sz w:val="24"/>
                <w:highlight w:val="none"/>
                <w:lang w:val="en-US" w:eastAsia="zh-CN"/>
              </w:rPr>
              <w:t>自谭家岭西路与余梁公路交叉口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终点在六一省道与余梁公路交叉口</w:t>
            </w:r>
            <w:r>
              <w:rPr>
                <w:rFonts w:hint="eastAsia" w:ascii="Times New Roman" w:hAnsi="Times New Roman" w:cs="Times New Roman"/>
                <w:sz w:val="24"/>
              </w:rPr>
              <w:t>。</w:t>
            </w:r>
            <w:r>
              <w:rPr>
                <w:rFonts w:hint="default" w:ascii="宋体" w:hAnsi="宋体" w:eastAsia="宋体" w:cs="宋体"/>
                <w:sz w:val="24"/>
                <w:szCs w:val="24"/>
              </w:rPr>
              <w:t>本工程长</w:t>
            </w:r>
            <w:r>
              <w:rPr>
                <w:rFonts w:hint="eastAsia" w:ascii="Times New Roman" w:hAnsi="Times New Roman" w:eastAsia="宋体" w:cs="Times New Roman"/>
                <w:b w:val="0"/>
                <w:color w:val="auto"/>
                <w:kern w:val="2"/>
                <w:sz w:val="24"/>
                <w:szCs w:val="24"/>
                <w:highlight w:val="none"/>
                <w:lang w:val="en-US" w:eastAsia="zh-CN" w:bidi="ar-SA"/>
              </w:rPr>
              <w:t>3.81km</w:t>
            </w:r>
            <w:r>
              <w:rPr>
                <w:rFonts w:hint="default" w:ascii="宋体" w:hAnsi="宋体" w:eastAsia="宋体" w:cs="宋体"/>
                <w:sz w:val="24"/>
                <w:szCs w:val="24"/>
              </w:rPr>
              <w:t>，</w:t>
            </w:r>
            <w:r>
              <w:rPr>
                <w:rFonts w:hint="eastAsia" w:ascii="宋体" w:hAnsi="宋体" w:cs="宋体"/>
                <w:sz w:val="24"/>
                <w:szCs w:val="24"/>
                <w:lang w:val="en-US" w:eastAsia="zh-CN"/>
              </w:rPr>
              <w:t>道路</w:t>
            </w:r>
            <w:r>
              <w:rPr>
                <w:rFonts w:hint="default" w:ascii="宋体" w:hAnsi="宋体" w:eastAsia="宋体" w:cs="宋体"/>
                <w:sz w:val="24"/>
                <w:szCs w:val="24"/>
              </w:rPr>
              <w:t>宽度为</w:t>
            </w:r>
            <w:r>
              <w:rPr>
                <w:rFonts w:hint="eastAsia" w:ascii="Times New Roman" w:hAnsi="Times New Roman" w:eastAsia="宋体" w:cs="Times New Roman"/>
                <w:sz w:val="24"/>
                <w:szCs w:val="24"/>
                <w:lang w:val="en-US" w:eastAsia="zh-CN"/>
              </w:rPr>
              <w:t>32</w:t>
            </w:r>
            <w:r>
              <w:rPr>
                <w:rFonts w:hint="default" w:ascii="Times New Roman" w:hAnsi="Times New Roman" w:eastAsia="Times New Roman" w:cs="Times New Roman"/>
                <w:sz w:val="24"/>
                <w:szCs w:val="24"/>
              </w:rPr>
              <w:t>m</w:t>
            </w:r>
            <w:r>
              <w:rPr>
                <w:rFonts w:hint="eastAsia" w:ascii="宋体" w:hAnsi="宋体" w:cs="宋体"/>
                <w:sz w:val="24"/>
                <w:szCs w:val="24"/>
                <w:lang w:eastAsia="zh-CN"/>
              </w:rPr>
              <w:t>，</w:t>
            </w:r>
            <w:r>
              <w:rPr>
                <w:rFonts w:hint="default" w:ascii="Times New Roman" w:hAnsi="Times New Roman" w:cs="Times New Roman"/>
                <w:color w:val="auto"/>
                <w:highlight w:val="none"/>
              </w:rPr>
              <w:t>按具有集散功能的一级公路设计标准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设计速度为80km/h</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三来三去六车道中间设分隔带</w:t>
            </w:r>
            <w:r>
              <w:rPr>
                <w:rFonts w:hint="eastAsia" w:ascii="Times New Roman" w:hAnsi="Times New Roman" w:cs="Times New Roman"/>
                <w:color w:val="auto"/>
                <w:highlight w:val="none"/>
                <w:lang w:eastAsia="zh-CN"/>
              </w:rPr>
              <w:t>，</w:t>
            </w:r>
            <w:r>
              <w:rPr>
                <w:rFonts w:ascii="Times New Roman" w:hAnsi="Times New Roman" w:cs="Times New Roman"/>
              </w:rPr>
              <w:t>该工程</w:t>
            </w:r>
            <w:r>
              <w:rPr>
                <w:rFonts w:hint="eastAsia" w:ascii="Times New Roman" w:hAnsi="Times New Roman" w:cs="Times New Roman"/>
                <w:lang w:val="en-US" w:eastAsia="zh-CN"/>
              </w:rPr>
              <w:t>路段设有</w:t>
            </w:r>
            <w:r>
              <w:rPr>
                <w:rFonts w:hint="default" w:ascii="Times New Roman" w:hAnsi="Times New Roman" w:eastAsia="宋体" w:cs="Times New Roman"/>
                <w:b w:val="0"/>
                <w:color w:val="auto"/>
                <w:kern w:val="2"/>
                <w:sz w:val="24"/>
                <w:szCs w:val="24"/>
                <w:highlight w:val="none"/>
                <w:lang w:val="en-US" w:eastAsia="zh-CN" w:bidi="ar-SA"/>
              </w:rPr>
              <w:t>大桥1座</w:t>
            </w:r>
            <w:r>
              <w:rPr>
                <w:rFonts w:hint="eastAsia" w:ascii="Times New Roman" w:hAnsi="Times New Roman" w:eastAsia="宋体" w:cs="Times New Roman"/>
                <w:b w:val="0"/>
                <w:color w:val="auto"/>
                <w:kern w:val="2"/>
                <w:sz w:val="24"/>
                <w:szCs w:val="24"/>
                <w:highlight w:val="none"/>
                <w:lang w:val="en-US" w:eastAsia="zh-CN" w:bidi="ar-SA"/>
              </w:rPr>
              <w:t>，中小桥2座，</w:t>
            </w:r>
            <w:r>
              <w:rPr>
                <w:rFonts w:hint="default" w:ascii="Times New Roman" w:hAnsi="Times New Roman" w:eastAsia="宋体" w:cs="Times New Roman"/>
                <w:b w:val="0"/>
                <w:color w:val="auto"/>
                <w:kern w:val="2"/>
                <w:sz w:val="24"/>
                <w:szCs w:val="24"/>
                <w:highlight w:val="none"/>
                <w:lang w:val="en-US" w:eastAsia="zh-CN" w:bidi="ar-SA"/>
              </w:rPr>
              <w:t>下穿铁路立交1处</w:t>
            </w:r>
            <w:r>
              <w:rPr>
                <w:rFonts w:hint="eastAsia" w:ascii="Times New Roman" w:hAnsi="Times New Roman" w:cs="Times New Roman"/>
                <w:lang w:eastAsia="zh-CN"/>
              </w:rPr>
              <w:t>。</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本项目环评报告表中</w:t>
            </w:r>
            <w:r>
              <w:rPr>
                <w:rFonts w:hint="eastAsia" w:ascii="Times New Roman" w:hAnsi="Times New Roman" w:eastAsia="宋体" w:cs="Times New Roman"/>
                <w:sz w:val="24"/>
                <w:lang w:val="en-US" w:eastAsia="zh-CN"/>
              </w:rPr>
              <w:t>全线</w:t>
            </w:r>
            <w:r>
              <w:rPr>
                <w:rFonts w:ascii="Times New Roman" w:hAnsi="Times New Roman" w:eastAsia="宋体" w:cs="Times New Roman"/>
                <w:sz w:val="24"/>
              </w:rPr>
              <w:t>总投资为</w:t>
            </w:r>
            <w:r>
              <w:rPr>
                <w:rFonts w:hint="eastAsia" w:ascii="Times New Roman" w:hAnsi="Times New Roman" w:eastAsia="宋体" w:cs="Times New Roman"/>
                <w:color w:val="auto"/>
                <w:szCs w:val="21"/>
                <w:highlight w:val="none"/>
                <w:lang w:val="en-US" w:eastAsia="zh-CN"/>
              </w:rPr>
              <w:t>73887.3</w:t>
            </w:r>
            <w:r>
              <w:rPr>
                <w:rFonts w:hint="default" w:ascii="Times New Roman" w:hAnsi="Times New Roman" w:eastAsia="Times New Roman" w:cs="Times New Roman"/>
                <w:spacing w:val="-4"/>
                <w:sz w:val="24"/>
                <w:szCs w:val="24"/>
              </w:rPr>
              <w:t>万</w:t>
            </w:r>
            <w:r>
              <w:rPr>
                <w:rFonts w:ascii="Times New Roman" w:hAnsi="Times New Roman" w:eastAsia="宋体" w:cs="Times New Roman"/>
                <w:sz w:val="24"/>
              </w:rPr>
              <w:t>元，环保投资</w:t>
            </w:r>
            <w:r>
              <w:rPr>
                <w:rFonts w:hint="eastAsia" w:ascii="Times New Roman" w:hAnsi="Times New Roman" w:eastAsia="宋体" w:cs="Times New Roman"/>
                <w:sz w:val="24"/>
                <w:lang w:val="en-US" w:eastAsia="zh-CN"/>
              </w:rPr>
              <w:t>900</w:t>
            </w:r>
            <w:r>
              <w:rPr>
                <w:rFonts w:ascii="Times New Roman" w:hAnsi="Times New Roman" w:eastAsia="宋体" w:cs="Times New Roman"/>
                <w:sz w:val="24"/>
              </w:rPr>
              <w:t>万元，占总投资的</w:t>
            </w:r>
            <w:r>
              <w:rPr>
                <w:rFonts w:hint="eastAsia" w:ascii="Times New Roman" w:hAnsi="Times New Roman" w:eastAsia="宋体" w:cs="Times New Roman"/>
                <w:sz w:val="24"/>
                <w:lang w:val="en-US" w:eastAsia="zh-CN"/>
              </w:rPr>
              <w:t>1.2</w:t>
            </w:r>
            <w:r>
              <w:rPr>
                <w:rFonts w:ascii="Times New Roman" w:hAnsi="Times New Roman" w:eastAsia="宋体" w:cs="Times New Roman"/>
                <w:sz w:val="24"/>
              </w:rPr>
              <w:t>%。</w:t>
            </w:r>
          </w:p>
          <w:p>
            <w:pPr>
              <w:pStyle w:val="19"/>
              <w:ind w:firstLine="480"/>
              <w:rPr>
                <w:rFonts w:hint="default" w:ascii="Times New Roman" w:hAnsi="Times New Roman" w:eastAsia="Times New Roman" w:cs="Times New Roman"/>
                <w:spacing w:val="-4"/>
                <w:sz w:val="24"/>
                <w:szCs w:val="24"/>
              </w:rPr>
            </w:pPr>
            <w:r>
              <w:rPr>
                <w:rFonts w:ascii="Times New Roman" w:hAnsi="Times New Roman" w:eastAsia="宋体" w:cs="Times New Roman"/>
                <w:sz w:val="24"/>
              </w:rPr>
              <w:t>工程实</w:t>
            </w:r>
            <w:r>
              <w:rPr>
                <w:rFonts w:hint="default" w:ascii="Times New Roman" w:hAnsi="Times New Roman" w:eastAsia="Times New Roman" w:cs="Times New Roman"/>
                <w:spacing w:val="-4"/>
                <w:sz w:val="24"/>
                <w:szCs w:val="24"/>
              </w:rPr>
              <w:t>际投资为</w:t>
            </w:r>
            <w:r>
              <w:rPr>
                <w:rFonts w:hint="eastAsia" w:ascii="Times New Roman" w:hAnsi="Times New Roman" w:eastAsia="宋体" w:cs="Times New Roman"/>
                <w:color w:val="auto"/>
                <w:szCs w:val="21"/>
                <w:highlight w:val="none"/>
                <w:lang w:val="en-US" w:eastAsia="zh-CN"/>
              </w:rPr>
              <w:t>38574.1</w:t>
            </w:r>
            <w:r>
              <w:rPr>
                <w:rFonts w:hint="default" w:ascii="Times New Roman" w:hAnsi="Times New Roman" w:eastAsia="Times New Roman" w:cs="Times New Roman"/>
                <w:spacing w:val="-4"/>
                <w:sz w:val="24"/>
                <w:szCs w:val="24"/>
              </w:rPr>
              <w:t>万元，环保投资</w:t>
            </w:r>
            <w:r>
              <w:rPr>
                <w:rFonts w:hint="eastAsia" w:ascii="Times New Roman" w:hAnsi="Times New Roman" w:eastAsia="宋体" w:cs="Times New Roman"/>
                <w:color w:val="auto"/>
                <w:szCs w:val="21"/>
                <w:highlight w:val="none"/>
                <w:lang w:val="en-US" w:eastAsia="zh-CN"/>
              </w:rPr>
              <w:t>462</w:t>
            </w:r>
            <w:r>
              <w:rPr>
                <w:rFonts w:hint="default" w:ascii="Times New Roman" w:hAnsi="Times New Roman" w:eastAsia="Times New Roman" w:cs="Times New Roman"/>
                <w:spacing w:val="-4"/>
                <w:sz w:val="24"/>
                <w:szCs w:val="24"/>
              </w:rPr>
              <w:t>万元。占工程总投资</w:t>
            </w:r>
            <w:r>
              <w:rPr>
                <w:rFonts w:hint="eastAsia" w:ascii="Times New Roman" w:hAnsi="Times New Roman" w:eastAsia="Times New Roman" w:cs="Times New Roman"/>
                <w:spacing w:val="-4"/>
                <w:sz w:val="24"/>
                <w:szCs w:val="24"/>
                <w:lang w:val="en-US" w:eastAsia="zh-CN"/>
              </w:rPr>
              <w:t>1.2</w:t>
            </w:r>
            <w:r>
              <w:rPr>
                <w:rFonts w:hint="default" w:ascii="Times New Roman" w:hAnsi="Times New Roman" w:eastAsia="Times New Roman" w:cs="Times New Roman"/>
                <w:spacing w:val="-4"/>
                <w:sz w:val="24"/>
                <w:szCs w:val="24"/>
              </w:rPr>
              <w:t>%。</w:t>
            </w:r>
          </w:p>
          <w:p>
            <w:pPr>
              <w:pStyle w:val="19"/>
              <w:ind w:firstLine="480"/>
              <w:rPr>
                <w:rFonts w:hint="default" w:ascii="Times New Roman" w:hAnsi="Times New Roman" w:eastAsia="Times New Roman" w:cs="Times New Roman"/>
                <w:spacing w:val="-4"/>
                <w:sz w:val="24"/>
                <w:szCs w:val="24"/>
              </w:rPr>
            </w:pPr>
            <w:r>
              <w:rPr>
                <w:rFonts w:hint="default" w:ascii="Times New Roman" w:hAnsi="Times New Roman" w:eastAsia="Times New Roman" w:cs="Times New Roman"/>
                <w:spacing w:val="-4"/>
                <w:sz w:val="24"/>
                <w:szCs w:val="24"/>
              </w:rPr>
              <w:t>20</w:t>
            </w:r>
            <w:r>
              <w:rPr>
                <w:rFonts w:hint="eastAsia" w:ascii="Times New Roman" w:hAnsi="Times New Roman" w:eastAsia="Times New Roman" w:cs="Times New Roman"/>
                <w:spacing w:val="-4"/>
                <w:sz w:val="24"/>
                <w:szCs w:val="24"/>
                <w:lang w:val="en-US" w:eastAsia="zh-CN"/>
              </w:rPr>
              <w:t>08</w:t>
            </w:r>
            <w:r>
              <w:rPr>
                <w:rFonts w:hint="default" w:ascii="Times New Roman" w:hAnsi="Times New Roman" w:eastAsia="Times New Roman" w:cs="Times New Roman"/>
                <w:spacing w:val="-4"/>
                <w:sz w:val="24"/>
                <w:szCs w:val="24"/>
              </w:rPr>
              <w:t>年</w:t>
            </w:r>
            <w:r>
              <w:rPr>
                <w:rFonts w:hint="eastAsia" w:ascii="Times New Roman" w:hAnsi="Times New Roman" w:eastAsia="宋体" w:cs="Times New Roman"/>
                <w:spacing w:val="-4"/>
                <w:sz w:val="24"/>
                <w:szCs w:val="24"/>
                <w:lang w:val="en-US" w:eastAsia="zh-CN"/>
              </w:rPr>
              <w:t>8</w:t>
            </w:r>
            <w:r>
              <w:rPr>
                <w:rFonts w:hint="default" w:ascii="Times New Roman" w:hAnsi="Times New Roman" w:eastAsia="Times New Roman" w:cs="Times New Roman"/>
                <w:spacing w:val="-4"/>
                <w:sz w:val="24"/>
                <w:szCs w:val="24"/>
              </w:rPr>
              <w:t>月，由</w:t>
            </w:r>
            <w:r>
              <w:rPr>
                <w:rFonts w:hint="default" w:ascii="Times New Roman" w:hAnsi="Times New Roman" w:eastAsia="宋体" w:cs="Times New Roman"/>
                <w:color w:val="auto"/>
                <w:szCs w:val="21"/>
                <w:highlight w:val="none"/>
              </w:rPr>
              <w:t>宁波环境保护科学研究设计院</w:t>
            </w:r>
            <w:r>
              <w:rPr>
                <w:rFonts w:hint="default" w:ascii="Times New Roman" w:hAnsi="Times New Roman" w:eastAsia="Times New Roman" w:cs="Times New Roman"/>
                <w:spacing w:val="-4"/>
                <w:sz w:val="24"/>
                <w:szCs w:val="24"/>
              </w:rPr>
              <w:t>编制完成《</w:t>
            </w:r>
            <w:r>
              <w:rPr>
                <w:rFonts w:hint="eastAsia" w:ascii="Times New Roman" w:hAnsi="Times New Roman" w:eastAsia="宋体" w:cs="Times New Roman"/>
                <w:color w:val="auto"/>
                <w:szCs w:val="21"/>
                <w:highlight w:val="none"/>
                <w:lang w:val="en-US" w:eastAsia="zh-CN"/>
              </w:rPr>
              <w:t>余姚市余梁公路北延工程建设项目</w:t>
            </w:r>
            <w:r>
              <w:rPr>
                <w:rFonts w:hint="default" w:ascii="Times New Roman" w:hAnsi="Times New Roman" w:eastAsia="宋体" w:cs="Times New Roman"/>
                <w:color w:val="auto"/>
                <w:szCs w:val="21"/>
                <w:highlight w:val="none"/>
                <w:lang w:val="en-US" w:eastAsia="zh-CN"/>
              </w:rPr>
              <w:t>环境影响报告表</w:t>
            </w:r>
            <w:r>
              <w:rPr>
                <w:rFonts w:hint="default" w:ascii="Times New Roman" w:hAnsi="Times New Roman" w:eastAsia="Times New Roman" w:cs="Times New Roman"/>
                <w:spacing w:val="-4"/>
                <w:sz w:val="24"/>
                <w:szCs w:val="24"/>
              </w:rPr>
              <w:t>》，</w:t>
            </w:r>
            <w:r>
              <w:rPr>
                <w:rFonts w:hint="eastAsia" w:ascii="Times New Roman" w:hAnsi="Times New Roman" w:eastAsia="宋体" w:cs="Times New Roman"/>
                <w:color w:val="auto"/>
                <w:szCs w:val="21"/>
                <w:highlight w:val="none"/>
                <w:lang w:val="en-US" w:eastAsia="zh-CN"/>
              </w:rPr>
              <w:t>原余姚市</w:t>
            </w:r>
            <w:r>
              <w:rPr>
                <w:rFonts w:hint="default" w:ascii="Times New Roman" w:hAnsi="Times New Roman" w:eastAsia="宋体" w:cs="Times New Roman"/>
                <w:color w:val="auto"/>
                <w:szCs w:val="21"/>
                <w:highlight w:val="none"/>
              </w:rPr>
              <w:t>环境保护局</w:t>
            </w:r>
            <w:r>
              <w:rPr>
                <w:rFonts w:hint="default" w:ascii="Times New Roman" w:hAnsi="Times New Roman" w:eastAsia="Times New Roman" w:cs="Times New Roman"/>
                <w:spacing w:val="-4"/>
                <w:sz w:val="24"/>
                <w:szCs w:val="24"/>
              </w:rPr>
              <w:t>对该项目进行了批复，审批文号：</w:t>
            </w:r>
            <w:r>
              <w:rPr>
                <w:rFonts w:hint="eastAsia" w:ascii="Times New Roman" w:hAnsi="Times New Roman" w:eastAsia="宋体" w:cs="Times New Roman"/>
                <w:color w:val="auto"/>
                <w:szCs w:val="21"/>
                <w:highlight w:val="none"/>
                <w:lang w:val="en-US" w:eastAsia="zh-CN"/>
              </w:rPr>
              <w:t>余环建</w:t>
            </w:r>
            <w:r>
              <w:rPr>
                <w:rFonts w:hint="default" w:ascii="Times New Roman" w:hAnsi="Times New Roman" w:eastAsia="宋体" w:cs="Times New Roman"/>
                <w:color w:val="auto"/>
                <w:szCs w:val="21"/>
                <w:highlight w:val="none"/>
                <w:lang w:val="en-US" w:eastAsia="zh-CN"/>
              </w:rPr>
              <w:t>〔2008〕3</w:t>
            </w:r>
            <w:r>
              <w:rPr>
                <w:rFonts w:hint="eastAsia"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rPr>
              <w:t>号</w:t>
            </w:r>
            <w:r>
              <w:rPr>
                <w:rFonts w:hint="default" w:ascii="Times New Roman" w:hAnsi="Times New Roman" w:eastAsia="Times New Roman" w:cs="Times New Roman"/>
                <w:spacing w:val="-4"/>
                <w:sz w:val="24"/>
                <w:szCs w:val="24"/>
              </w:rPr>
              <w:t>。</w:t>
            </w:r>
          </w:p>
          <w:p>
            <w:pPr>
              <w:pStyle w:val="19"/>
              <w:ind w:firstLine="480"/>
              <w:rPr>
                <w:rFonts w:hint="eastAsia" w:ascii="Times New Roman" w:hAnsi="Times New Roman" w:cs="Times New Roman"/>
                <w:lang w:eastAsia="zh-CN"/>
              </w:rPr>
            </w:pPr>
            <w:r>
              <w:rPr>
                <w:rFonts w:hint="eastAsia" w:ascii="Times New Roman" w:hAnsi="Times New Roman" w:cs="Times New Roman"/>
                <w:lang w:eastAsia="zh-CN"/>
              </w:rPr>
              <w:t>余姚市余梁公路北延工程I、II标段工程建设项目实际于</w:t>
            </w:r>
            <w:r>
              <w:rPr>
                <w:rFonts w:hint="default" w:ascii="Times New Roman" w:hAnsi="Times New Roman" w:cs="Times New Roman"/>
                <w:lang w:val="en-US" w:eastAsia="zh-CN"/>
              </w:rPr>
              <w:t>2010年7月</w:t>
            </w:r>
            <w:r>
              <w:rPr>
                <w:rFonts w:hint="eastAsia" w:ascii="Times New Roman" w:hAnsi="Times New Roman" w:cs="Times New Roman"/>
                <w:lang w:eastAsia="zh-CN"/>
              </w:rPr>
              <w:t>开工，</w:t>
            </w:r>
            <w:r>
              <w:rPr>
                <w:rFonts w:hint="default" w:ascii="Times New Roman" w:hAnsi="Times New Roman" w:cs="Times New Roman"/>
                <w:lang w:val="en-US" w:eastAsia="zh-CN"/>
              </w:rPr>
              <w:t>20</w:t>
            </w:r>
            <w:r>
              <w:rPr>
                <w:rFonts w:hint="eastAsia" w:ascii="Times New Roman" w:hAnsi="Times New Roman" w:cs="Times New Roman"/>
                <w:lang w:val="en-US" w:eastAsia="zh-CN"/>
              </w:rPr>
              <w:t>21</w:t>
            </w:r>
            <w:r>
              <w:rPr>
                <w:rFonts w:hint="default" w:ascii="Times New Roman" w:hAnsi="Times New Roman" w:cs="Times New Roman"/>
                <w:lang w:val="en-US" w:eastAsia="zh-CN"/>
              </w:rPr>
              <w:t>年</w:t>
            </w:r>
            <w:r>
              <w:rPr>
                <w:rFonts w:hint="eastAsia" w:ascii="Times New Roman" w:hAnsi="Times New Roman" w:cs="Times New Roman"/>
                <w:lang w:val="en-US" w:eastAsia="zh-CN"/>
              </w:rPr>
              <w:t>12</w:t>
            </w:r>
            <w:r>
              <w:rPr>
                <w:rFonts w:hint="default" w:ascii="Times New Roman" w:hAnsi="Times New Roman" w:cs="Times New Roman"/>
                <w:lang w:val="en-US" w:eastAsia="zh-CN"/>
              </w:rPr>
              <w:t>月</w:t>
            </w:r>
            <w:r>
              <w:rPr>
                <w:rFonts w:hint="eastAsia" w:ascii="Times New Roman" w:hAnsi="Times New Roman" w:cs="Times New Roman"/>
                <w:lang w:eastAsia="zh-CN"/>
              </w:rPr>
              <w:t>完工。</w:t>
            </w:r>
          </w:p>
          <w:p>
            <w:pPr>
              <w:pStyle w:val="19"/>
              <w:ind w:firstLine="480"/>
              <w:rPr>
                <w:rFonts w:ascii="Times New Roman" w:hAnsi="Times New Roman" w:cs="Times New Roman"/>
              </w:rPr>
            </w:pPr>
            <w:r>
              <w:rPr>
                <w:rFonts w:ascii="Times New Roman" w:hAnsi="Times New Roman" w:cs="Times New Roman"/>
              </w:rPr>
              <w:t>项目实际工程内容与环评基本一致。</w:t>
            </w:r>
          </w:p>
          <w:p>
            <w:pPr>
              <w:pStyle w:val="19"/>
              <w:numPr>
                <w:ilvl w:val="0"/>
                <w:numId w:val="7"/>
              </w:numPr>
              <w:ind w:firstLine="480"/>
              <w:rPr>
                <w:rFonts w:ascii="Times New Roman" w:hAnsi="Times New Roman" w:cs="Times New Roman"/>
              </w:rPr>
            </w:pPr>
            <w:r>
              <w:rPr>
                <w:rFonts w:ascii="Times New Roman" w:hAnsi="Times New Roman" w:cs="Times New Roman"/>
              </w:rPr>
              <w:t>环境保护措施落实情况</w:t>
            </w:r>
          </w:p>
          <w:p>
            <w:pPr>
              <w:pStyle w:val="19"/>
              <w:ind w:firstLine="480"/>
              <w:rPr>
                <w:rFonts w:ascii="Times New Roman" w:hAnsi="Times New Roman" w:cs="Times New Roman"/>
              </w:rPr>
            </w:pPr>
            <w:r>
              <w:rPr>
                <w:rFonts w:ascii="Times New Roman" w:hAnsi="Times New Roman" w:cs="Times New Roman"/>
              </w:rPr>
              <w:t>1、施工期环保措施落实情况</w:t>
            </w:r>
          </w:p>
          <w:p>
            <w:pPr>
              <w:pStyle w:val="19"/>
              <w:ind w:firstLine="48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加强管理，文明施工，建筑材料轻装轻卸</w:t>
            </w:r>
            <w:r>
              <w:rPr>
                <w:rFonts w:hint="eastAsia" w:ascii="Times New Roman" w:hAnsi="Times New Roman" w:cs="Times New Roman"/>
                <w:lang w:eastAsia="zh-CN"/>
              </w:rPr>
              <w:t>，</w:t>
            </w:r>
            <w:r>
              <w:rPr>
                <w:rFonts w:hint="eastAsia" w:ascii="Times New Roman" w:hAnsi="Times New Roman" w:cs="Times New Roman"/>
              </w:rPr>
              <w:t>运输粉砂等易产生扬尘的车辆上应覆盖篷布</w:t>
            </w:r>
            <w:r>
              <w:rPr>
                <w:rFonts w:hint="eastAsia" w:ascii="Times New Roman" w:hAnsi="Times New Roman" w:cs="Times New Roman"/>
                <w:lang w:eastAsia="zh-CN"/>
              </w:rPr>
              <w:t>；</w:t>
            </w:r>
            <w:r>
              <w:rPr>
                <w:rFonts w:hint="eastAsia" w:ascii="Times New Roman" w:hAnsi="Times New Roman" w:cs="Times New Roman"/>
              </w:rPr>
              <w:t>临时堆放的土石方、砂料等表面必要时应酒水</w:t>
            </w:r>
            <w:r>
              <w:rPr>
                <w:rFonts w:hint="eastAsia" w:ascii="Times New Roman" w:hAnsi="Times New Roman" w:cs="Times New Roman"/>
                <w:lang w:eastAsia="zh-CN"/>
              </w:rPr>
              <w:t>；</w:t>
            </w:r>
            <w:r>
              <w:rPr>
                <w:rFonts w:hint="eastAsia" w:ascii="Times New Roman" w:hAnsi="Times New Roman" w:cs="Times New Roman"/>
              </w:rPr>
              <w:t>沥青熔化必须在沥青搅拌站进行，现场只进行路面铺设。同时要求沥青拌和站应远离居民区，且设在居民或村庄的下风向为宜</w:t>
            </w:r>
            <w:r>
              <w:rPr>
                <w:rFonts w:hint="eastAsia" w:ascii="Times New Roman" w:hAnsi="Times New Roman" w:cs="Times New Roman"/>
                <w:lang w:eastAsia="zh-CN"/>
              </w:rPr>
              <w:t>；</w:t>
            </w:r>
            <w:r>
              <w:rPr>
                <w:rFonts w:hint="eastAsia" w:ascii="Times New Roman" w:hAnsi="Times New Roman" w:cs="Times New Roman"/>
              </w:rPr>
              <w:t>沥青拌和设备必须带有除尘装置。加强绿化建设，车辆排污要求符合有关汽车尾气排放标准</w:t>
            </w:r>
            <w:r>
              <w:rPr>
                <w:rFonts w:ascii="Times New Roman" w:hAnsi="Times New Roman" w:cs="Times New Roman"/>
              </w:rPr>
              <w:t>。</w:t>
            </w:r>
          </w:p>
          <w:p>
            <w:pPr>
              <w:pStyle w:val="19"/>
              <w:ind w:firstLine="48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建设好临时的生活设施，临时食堂的厨房废水设简易的隔油池</w:t>
            </w:r>
            <w:r>
              <w:rPr>
                <w:rFonts w:hint="eastAsia" w:ascii="Times New Roman" w:hAnsi="Times New Roman" w:cs="Times New Roman"/>
                <w:lang w:eastAsia="zh-CN"/>
              </w:rPr>
              <w:t>；</w:t>
            </w:r>
            <w:r>
              <w:rPr>
                <w:rFonts w:hint="eastAsia" w:ascii="Times New Roman" w:hAnsi="Times New Roman" w:cs="Times New Roman"/>
              </w:rPr>
              <w:t>设临时厕所、化粪池，委托当地农民定期清运作农肥，或委托当地环卫部门收集处置，也可以就近利用附近村庄的卫生设施。经收集沉淀后上清液排放，堆泥干化后外运填埋或用于建设工程的填料。</w:t>
            </w:r>
          </w:p>
          <w:p>
            <w:pPr>
              <w:pStyle w:val="19"/>
              <w:ind w:firstLine="48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生活垃圾避雨集中堆放，委托环卫部门及时运走处置</w:t>
            </w:r>
            <w:r>
              <w:rPr>
                <w:rFonts w:hint="eastAsia" w:ascii="Times New Roman" w:hAnsi="Times New Roman" w:cs="Times New Roman"/>
                <w:lang w:eastAsia="zh-CN"/>
              </w:rPr>
              <w:t>；</w:t>
            </w:r>
            <w:r>
              <w:rPr>
                <w:rFonts w:hint="eastAsia" w:ascii="Times New Roman" w:hAnsi="Times New Roman" w:cs="Times New Roman"/>
              </w:rPr>
              <w:t>用路基挖方作为填筑材料，及时进行运输平衡</w:t>
            </w:r>
            <w:r>
              <w:rPr>
                <w:rFonts w:hint="eastAsia" w:ascii="Times New Roman" w:hAnsi="Times New Roman" w:cs="Times New Roman"/>
                <w:lang w:eastAsia="zh-CN"/>
              </w:rPr>
              <w:t>；</w:t>
            </w:r>
            <w:r>
              <w:rPr>
                <w:rFonts w:hint="eastAsia" w:ascii="Times New Roman" w:hAnsi="Times New Roman" w:cs="Times New Roman"/>
              </w:rPr>
              <w:t>建筑垃圾应与当地渣土办联系，及时清运，送指定地点妥善处置。</w:t>
            </w:r>
          </w:p>
          <w:p>
            <w:pPr>
              <w:pStyle w:val="19"/>
              <w:ind w:firstLine="48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对施工期的噪声要求采用低噪声工艺，文明生产，距居民住宅200m内的路段夜间禁止进行对居民生活环境产生噪声污染的施工作业。在选择路线时尽量考虑避开现有村庄，无法避免时应适当增加拆迁量</w:t>
            </w:r>
            <w:r>
              <w:rPr>
                <w:rFonts w:hint="eastAsia" w:ascii="Times New Roman" w:hAnsi="Times New Roman" w:cs="Times New Roman"/>
                <w:lang w:eastAsia="zh-CN"/>
              </w:rPr>
              <w:t>；</w:t>
            </w:r>
            <w:r>
              <w:rPr>
                <w:rFonts w:hint="eastAsia" w:ascii="Times New Roman" w:hAnsi="Times New Roman" w:cs="Times New Roman"/>
              </w:rPr>
              <w:t>搞好沿线规划，尽早实施道路两侧的公共绿地和防护绿地建设，以美化路容，吸音降噪，保护环境。提高道路施工质量，加强路面保养</w:t>
            </w:r>
            <w:r>
              <w:rPr>
                <w:rFonts w:hint="eastAsia" w:ascii="Times New Roman" w:hAnsi="Times New Roman" w:cs="Times New Roman"/>
                <w:lang w:eastAsia="zh-CN"/>
              </w:rPr>
              <w:t>：</w:t>
            </w:r>
            <w:r>
              <w:rPr>
                <w:rFonts w:hint="eastAsia" w:ascii="Times New Roman" w:hAnsi="Times New Roman" w:cs="Times New Roman"/>
              </w:rPr>
              <w:t>设置交通标志、标线等设施</w:t>
            </w:r>
            <w:r>
              <w:rPr>
                <w:rFonts w:hint="eastAsia" w:ascii="Times New Roman" w:hAnsi="Times New Roman" w:cs="Times New Roman"/>
                <w:lang w:eastAsia="zh-CN"/>
              </w:rPr>
              <w:t>，</w:t>
            </w:r>
            <w:r>
              <w:rPr>
                <w:rFonts w:hint="eastAsia" w:ascii="Times New Roman" w:hAnsi="Times New Roman" w:cs="Times New Roman"/>
              </w:rPr>
              <w:t>禁止鸣号</w:t>
            </w:r>
            <w:r>
              <w:rPr>
                <w:rFonts w:hint="eastAsia" w:ascii="Times New Roman" w:hAnsi="Times New Roman" w:cs="Times New Roman"/>
                <w:lang w:eastAsia="zh-CN"/>
              </w:rPr>
              <w:t>。</w:t>
            </w:r>
            <w:r>
              <w:rPr>
                <w:rFonts w:hint="eastAsia" w:ascii="Times New Roman" w:hAnsi="Times New Roman" w:cs="Times New Roman"/>
              </w:rPr>
              <w:t>本工程建成后对各敏感点进行噪声监测，如有超标，则应采取设置隔声屏障、增加绿化带等相关隔音降噪措施。</w:t>
            </w:r>
          </w:p>
          <w:p>
            <w:pPr>
              <w:pStyle w:val="19"/>
              <w:ind w:firstLine="480"/>
              <w:rPr>
                <w:rFonts w:ascii="Times New Roman" w:hAnsi="Times New Roman" w:cs="Times New Roman"/>
              </w:rPr>
            </w:pPr>
            <w:r>
              <w:rPr>
                <w:rFonts w:ascii="Times New Roman" w:hAnsi="Times New Roman" w:cs="Times New Roman"/>
              </w:rPr>
              <w:t>2、营运期环保措施落实情况</w:t>
            </w:r>
          </w:p>
          <w:p>
            <w:pPr>
              <w:pStyle w:val="19"/>
              <w:ind w:firstLine="480"/>
              <w:rPr>
                <w:rFonts w:ascii="Times New Roman" w:hAnsi="Times New Roman" w:cs="Times New Roman"/>
              </w:rPr>
            </w:pPr>
            <w:r>
              <w:rPr>
                <w:rFonts w:ascii="Times New Roman" w:hAnsi="Times New Roman" w:cs="Times New Roman"/>
              </w:rPr>
              <w:t>1）废气</w:t>
            </w:r>
          </w:p>
          <w:p>
            <w:pPr>
              <w:pStyle w:val="19"/>
              <w:ind w:firstLine="480"/>
              <w:rPr>
                <w:rFonts w:ascii="Times New Roman" w:hAnsi="Times New Roman" w:cs="Times New Roman"/>
              </w:rPr>
            </w:pPr>
            <w:r>
              <w:rPr>
                <w:rFonts w:ascii="Times New Roman" w:hAnsi="Times New Roman" w:cs="Times New Roman"/>
              </w:rPr>
              <w:t>汽车尾气无组织排放，对周围环境影响较小。</w:t>
            </w:r>
          </w:p>
          <w:p>
            <w:pPr>
              <w:pStyle w:val="19"/>
              <w:ind w:firstLine="480"/>
              <w:rPr>
                <w:rFonts w:ascii="Times New Roman" w:hAnsi="Times New Roman" w:cs="Times New Roman"/>
              </w:rPr>
            </w:pPr>
            <w:r>
              <w:rPr>
                <w:rFonts w:ascii="Times New Roman" w:hAnsi="Times New Roman" w:cs="Times New Roman"/>
              </w:rPr>
              <w:t>2）废水</w:t>
            </w:r>
          </w:p>
          <w:p>
            <w:pPr>
              <w:pStyle w:val="19"/>
              <w:ind w:firstLine="480"/>
              <w:rPr>
                <w:rFonts w:ascii="Times New Roman" w:hAnsi="Times New Roman" w:cs="Times New Roman"/>
              </w:rPr>
            </w:pPr>
            <w:r>
              <w:rPr>
                <w:rFonts w:ascii="Times New Roman" w:hAnsi="Times New Roman" w:cs="Times New Roman"/>
              </w:rPr>
              <w:t>加强对路面的日常维护与管理，保持路面清洁，及时对清理路面上累积的尘土、碎屑、油污等；加强雨水管网的维护，避免堵塞排水不畅而外溢。</w:t>
            </w:r>
          </w:p>
          <w:p>
            <w:pPr>
              <w:pStyle w:val="19"/>
              <w:ind w:firstLine="480"/>
              <w:rPr>
                <w:rFonts w:ascii="Times New Roman" w:hAnsi="Times New Roman" w:cs="Times New Roman"/>
              </w:rPr>
            </w:pPr>
            <w:r>
              <w:rPr>
                <w:rFonts w:ascii="Times New Roman" w:hAnsi="Times New Roman" w:cs="Times New Roman"/>
              </w:rPr>
              <w:t>3）噪声</w:t>
            </w:r>
          </w:p>
          <w:p>
            <w:pPr>
              <w:pStyle w:val="19"/>
              <w:ind w:firstLine="480"/>
              <w:rPr>
                <w:rFonts w:ascii="Times New Roman" w:hAnsi="Times New Roman" w:cs="Times New Roman"/>
              </w:rPr>
            </w:pPr>
            <w:r>
              <w:rPr>
                <w:rFonts w:ascii="Times New Roman" w:hAnsi="Times New Roman" w:cs="Times New Roman"/>
              </w:rPr>
              <w:t>项目加强工程沿线内绿化，根据当地自然条件选择校叶繁茂、生长迅速的需绿植物；完善了道路示标志，限制车辆行驶速度；加强道路日常维护，提高路面平整度，发现路面破损及时修复。</w:t>
            </w:r>
          </w:p>
          <w:p>
            <w:pPr>
              <w:pStyle w:val="19"/>
              <w:ind w:firstLine="480"/>
              <w:rPr>
                <w:rFonts w:ascii="Times New Roman" w:hAnsi="Times New Roman" w:cs="Times New Roman"/>
              </w:rPr>
            </w:pPr>
            <w:r>
              <w:rPr>
                <w:rFonts w:ascii="Times New Roman" w:hAnsi="Times New Roman" w:cs="Times New Roman"/>
              </w:rPr>
              <w:t>4）固体废物</w:t>
            </w:r>
          </w:p>
          <w:p>
            <w:pPr>
              <w:pStyle w:val="19"/>
              <w:ind w:firstLine="480"/>
              <w:rPr>
                <w:rFonts w:ascii="Times New Roman" w:hAnsi="Times New Roman" w:cs="Times New Roman"/>
              </w:rPr>
            </w:pPr>
            <w:r>
              <w:rPr>
                <w:rFonts w:ascii="Times New Roman" w:hAnsi="Times New Roman" w:cs="Times New Roman"/>
              </w:rPr>
              <w:t>道路垃圾及时清理，经收集后由环卫部门清运处理。</w:t>
            </w:r>
          </w:p>
          <w:p>
            <w:pPr>
              <w:pStyle w:val="19"/>
              <w:ind w:firstLine="480"/>
              <w:rPr>
                <w:rFonts w:ascii="Times New Roman" w:hAnsi="Times New Roman" w:cs="Times New Roman"/>
              </w:rPr>
            </w:pPr>
            <w:r>
              <w:rPr>
                <w:rFonts w:ascii="Times New Roman" w:hAnsi="Times New Roman" w:cs="Times New Roman"/>
              </w:rPr>
              <w:t>三、环境影响调查</w:t>
            </w:r>
          </w:p>
          <w:p>
            <w:pPr>
              <w:pStyle w:val="19"/>
              <w:ind w:firstLine="480"/>
              <w:rPr>
                <w:rFonts w:ascii="Times New Roman" w:hAnsi="Times New Roman" w:cs="Times New Roman"/>
              </w:rPr>
            </w:pPr>
            <w:r>
              <w:rPr>
                <w:rFonts w:ascii="Times New Roman" w:hAnsi="Times New Roman" w:cs="Times New Roman"/>
              </w:rPr>
              <w:t>1、施工期</w:t>
            </w:r>
          </w:p>
          <w:p>
            <w:pPr>
              <w:pStyle w:val="19"/>
              <w:ind w:firstLine="480"/>
              <w:rPr>
                <w:rFonts w:ascii="Times New Roman" w:hAnsi="Times New Roman" w:cs="Times New Roman"/>
              </w:rPr>
            </w:pPr>
            <w:r>
              <w:rPr>
                <w:rFonts w:ascii="Times New Roman" w:hAnsi="Times New Roman" w:cs="Times New Roman"/>
              </w:rPr>
              <w:t>施工单位基本按照环评及批复要求落实各项环保措施，施工期间未接到周围居民环保投诉。</w:t>
            </w:r>
          </w:p>
          <w:p>
            <w:pPr>
              <w:pStyle w:val="19"/>
              <w:ind w:firstLine="480"/>
              <w:rPr>
                <w:rFonts w:ascii="Times New Roman" w:hAnsi="Times New Roman" w:cs="Times New Roman"/>
              </w:rPr>
            </w:pPr>
            <w:r>
              <w:rPr>
                <w:rFonts w:ascii="Times New Roman" w:hAnsi="Times New Roman" w:cs="Times New Roman"/>
              </w:rPr>
              <w:t>2、营运期</w:t>
            </w:r>
          </w:p>
          <w:p>
            <w:pPr>
              <w:pStyle w:val="19"/>
              <w:ind w:firstLine="480"/>
              <w:rPr>
                <w:rFonts w:ascii="Times New Roman" w:hAnsi="Times New Roman" w:cs="Times New Roman"/>
              </w:rPr>
            </w:pPr>
            <w:r>
              <w:rPr>
                <w:rFonts w:ascii="Times New Roman" w:hAnsi="Times New Roman" w:cs="Times New Roman"/>
              </w:rPr>
              <w:t>1）水环境</w:t>
            </w:r>
          </w:p>
          <w:p>
            <w:pPr>
              <w:spacing w:line="360" w:lineRule="auto"/>
              <w:ind w:firstLine="480" w:firstLineChars="200"/>
              <w:jc w:val="left"/>
              <w:rPr>
                <w:rFonts w:ascii="Times New Roman" w:hAnsi="Times New Roman" w:cs="Times New Roman"/>
                <w:sz w:val="24"/>
              </w:rPr>
            </w:pPr>
            <w:r>
              <w:rPr>
                <w:rFonts w:ascii="Times New Roman" w:hAnsi="Times New Roman" w:eastAsia="宋体" w:cs="Times New Roman"/>
                <w:sz w:val="24"/>
              </w:rPr>
              <w:t>道路已建成雨水收集系统，雨水收集后排入旁边河沟，由于地面径流污染物浓度不高，少量地面雨水不会导致地表水体污染</w:t>
            </w:r>
            <w:r>
              <w:rPr>
                <w:rFonts w:ascii="Times New Roman" w:hAnsi="Times New Roman" w:cs="Times New Roman"/>
                <w:sz w:val="24"/>
              </w:rPr>
              <w:t>，同时加强对路面的日常维护与管理，保持路面清洁。</w:t>
            </w:r>
          </w:p>
          <w:p>
            <w:pPr>
              <w:pStyle w:val="19"/>
              <w:ind w:firstLine="480"/>
              <w:rPr>
                <w:rFonts w:ascii="Times New Roman" w:hAnsi="Times New Roman" w:cs="Times New Roman"/>
              </w:rPr>
            </w:pPr>
            <w:r>
              <w:rPr>
                <w:rFonts w:ascii="Times New Roman" w:hAnsi="Times New Roman" w:cs="Times New Roman"/>
              </w:rPr>
              <w:t>2）大气环境</w:t>
            </w:r>
          </w:p>
          <w:p>
            <w:pPr>
              <w:pStyle w:val="19"/>
              <w:ind w:firstLine="480"/>
              <w:rPr>
                <w:rFonts w:ascii="Times New Roman" w:hAnsi="Times New Roman" w:cs="Times New Roman"/>
              </w:rPr>
            </w:pPr>
            <w:r>
              <w:rPr>
                <w:rFonts w:ascii="Times New Roman" w:hAnsi="Times New Roman" w:cs="Times New Roman"/>
              </w:rPr>
              <w:t>项目营运后，本项目将产生汽车尾气，对环境影响小；</w:t>
            </w:r>
          </w:p>
          <w:p>
            <w:pPr>
              <w:pStyle w:val="19"/>
              <w:ind w:firstLine="480"/>
              <w:rPr>
                <w:rFonts w:ascii="Times New Roman" w:hAnsi="Times New Roman" w:cs="Times New Roman"/>
              </w:rPr>
            </w:pPr>
            <w:r>
              <w:rPr>
                <w:rFonts w:ascii="Times New Roman" w:hAnsi="Times New Roman" w:cs="Times New Roman"/>
              </w:rPr>
              <w:t>3）声环境</w:t>
            </w:r>
          </w:p>
          <w:p>
            <w:pPr>
              <w:pStyle w:val="19"/>
              <w:ind w:firstLine="480"/>
              <w:rPr>
                <w:rFonts w:hint="default" w:ascii="Times New Roman" w:hAnsi="Times New Roman" w:cs="Times New Roman"/>
                <w:sz w:val="24"/>
                <w:szCs w:val="24"/>
              </w:rPr>
            </w:pPr>
            <w:r>
              <w:rPr>
                <w:rFonts w:hint="default" w:ascii="Times New Roman" w:hAnsi="Times New Roman" w:cs="Times New Roman"/>
                <w:sz w:val="24"/>
                <w:szCs w:val="24"/>
              </w:rPr>
              <w:t>本项目运营期噪声主要为道路交通噪声。根据</w:t>
            </w:r>
            <w:r>
              <w:rPr>
                <w:rFonts w:hint="default" w:ascii="Times New Roman" w:hAnsi="Times New Roman" w:cs="Times New Roman"/>
                <w:sz w:val="24"/>
                <w:szCs w:val="24"/>
                <w:lang w:eastAsia="zh-CN"/>
              </w:rPr>
              <w:t>浙江诚德检测研究有限公司</w:t>
            </w:r>
            <w:r>
              <w:rPr>
                <w:rFonts w:hint="default" w:ascii="Times New Roman" w:hAnsi="Times New Roman" w:cs="Times New Roman"/>
                <w:sz w:val="24"/>
                <w:szCs w:val="24"/>
              </w:rPr>
              <w:t>提供的监测报告（</w:t>
            </w:r>
            <w:r>
              <w:rPr>
                <w:rFonts w:hint="default" w:ascii="Times New Roman" w:hAnsi="Times New Roman" w:eastAsia="宋体" w:cs="Times New Roman"/>
                <w:bCs/>
                <w:kern w:val="2"/>
                <w:sz w:val="24"/>
                <w:szCs w:val="24"/>
              </w:rPr>
              <w:t>JZHJ240219</w:t>
            </w:r>
            <w:r>
              <w:rPr>
                <w:rFonts w:hint="default" w:ascii="Times New Roman" w:hAnsi="Times New Roman" w:cs="Times New Roman"/>
                <w:sz w:val="24"/>
                <w:szCs w:val="24"/>
              </w:rPr>
              <w:t>），工程所在区域道路附近声环境符合《声环境质量标准》（GB3096-2008）中的2、4a类标准。后期经检测若发生超标现象，可进一步增设防噪措施。</w:t>
            </w:r>
          </w:p>
          <w:p>
            <w:pPr>
              <w:pStyle w:val="19"/>
              <w:ind w:firstLine="480"/>
              <w:rPr>
                <w:rFonts w:hint="default" w:ascii="Times New Roman" w:hAnsi="Times New Roman" w:cs="Times New Roman"/>
                <w:sz w:val="24"/>
                <w:szCs w:val="24"/>
              </w:rPr>
            </w:pPr>
            <w:r>
              <w:rPr>
                <w:rFonts w:hint="default" w:ascii="Times New Roman" w:hAnsi="Times New Roman" w:cs="Times New Roman"/>
                <w:sz w:val="24"/>
                <w:szCs w:val="24"/>
              </w:rPr>
              <w:t>4）固废</w:t>
            </w:r>
          </w:p>
          <w:p>
            <w:pPr>
              <w:pStyle w:val="19"/>
              <w:ind w:firstLine="480"/>
              <w:rPr>
                <w:rFonts w:ascii="Times New Roman" w:hAnsi="Times New Roman" w:cs="Times New Roman"/>
              </w:rPr>
            </w:pPr>
            <w:r>
              <w:rPr>
                <w:rFonts w:ascii="Times New Roman" w:hAnsi="Times New Roman" w:cs="Times New Roman"/>
              </w:rPr>
              <w:t>项目营运期固废主要为生活垃圾，及时收集清理，对环境影响小。</w:t>
            </w:r>
          </w:p>
          <w:p>
            <w:pPr>
              <w:pStyle w:val="19"/>
              <w:numPr>
                <w:ilvl w:val="0"/>
                <w:numId w:val="8"/>
              </w:numPr>
              <w:ind w:firstLine="480"/>
              <w:rPr>
                <w:rFonts w:ascii="Times New Roman" w:hAnsi="Times New Roman" w:cs="Times New Roman"/>
              </w:rPr>
            </w:pPr>
            <w:r>
              <w:rPr>
                <w:rFonts w:ascii="Times New Roman" w:hAnsi="Times New Roman" w:cs="Times New Roman"/>
              </w:rPr>
              <w:t>生态环境</w:t>
            </w:r>
          </w:p>
          <w:p>
            <w:pPr>
              <w:spacing w:line="360" w:lineRule="auto"/>
              <w:ind w:firstLine="480" w:firstLineChars="200"/>
              <w:jc w:val="left"/>
              <w:rPr>
                <w:rFonts w:ascii="Times New Roman" w:hAnsi="Times New Roman" w:cs="Times New Roman"/>
              </w:rPr>
            </w:pPr>
            <w:r>
              <w:rPr>
                <w:rFonts w:ascii="Times New Roman" w:hAnsi="Times New Roman" w:eastAsia="宋体" w:cs="Times New Roman"/>
                <w:sz w:val="24"/>
              </w:rPr>
              <w:t>道路建成后，原裸露的地表得到整治，通过植物绿化以及混凝土所覆盖，道路及绿化建设，都可以减少水土流失，改善生态环境。因此，</w:t>
            </w:r>
            <w:r>
              <w:rPr>
                <w:rFonts w:ascii="Times New Roman" w:hAnsi="Times New Roman" w:cs="Times New Roman"/>
                <w:sz w:val="24"/>
              </w:rPr>
              <w:t>生态环境影响较小</w:t>
            </w:r>
            <w:r>
              <w:rPr>
                <w:rFonts w:ascii="Times New Roman" w:hAnsi="Times New Roman" w:eastAsia="宋体" w:cs="Times New Roman"/>
                <w:sz w:val="24"/>
              </w:rPr>
              <w:t>。</w:t>
            </w:r>
          </w:p>
          <w:p>
            <w:pPr>
              <w:pStyle w:val="19"/>
              <w:ind w:firstLine="480"/>
              <w:rPr>
                <w:rFonts w:ascii="Times New Roman" w:hAnsi="Times New Roman" w:cs="Times New Roman"/>
              </w:rPr>
            </w:pPr>
            <w:r>
              <w:rPr>
                <w:rFonts w:ascii="Times New Roman" w:hAnsi="Times New Roman" w:cs="Times New Roman"/>
              </w:rPr>
              <w:t>四、总结论</w:t>
            </w:r>
          </w:p>
          <w:p>
            <w:pPr>
              <w:pStyle w:val="19"/>
              <w:ind w:firstLine="480"/>
              <w:rPr>
                <w:rFonts w:ascii="Times New Roman" w:hAnsi="Times New Roman" w:cs="Times New Roman"/>
              </w:rPr>
            </w:pPr>
            <w:r>
              <w:rPr>
                <w:rFonts w:ascii="Times New Roman" w:hAnsi="Times New Roman" w:cs="Times New Roman"/>
              </w:rPr>
              <w:t>根据环评报告及批复与实际情况一一核对，基本满足要求。本工程建设前期环境保护审查、审批手续完备，技术资料与环境保护档案资料齐全；项目的环境影响报告表和批复中要求的各项污染控制措施已基本得到落实，符合竣工环境保护验收条件。</w:t>
            </w: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tc>
      </w:tr>
    </w:tbl>
    <w:p>
      <w:pPr>
        <w:rPr>
          <w:rFonts w:hint="default" w:ascii="Times New Roman" w:hAnsi="Times New Roman" w:cs="Times New Roman"/>
          <w:color w:val="auto"/>
          <w:highlight w:val="none"/>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highlight w:val="none"/>
        </w:rPr>
        <w:br w:type="page"/>
      </w: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附件1  环境影响报告表审批意见</w:t>
      </w:r>
    </w:p>
    <w:p>
      <w:pPr>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lang w:eastAsia="zh-CN"/>
        </w:rPr>
        <w:drawing>
          <wp:inline distT="0" distB="0" distL="114300" distR="114300">
            <wp:extent cx="5385435" cy="8064500"/>
            <wp:effectExtent l="0" t="0" r="0" b="0"/>
            <wp:docPr id="7" name="图片 7" descr="IMG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151"/>
                    <pic:cNvPicPr>
                      <a:picLocks noChangeAspect="1"/>
                    </pic:cNvPicPr>
                  </pic:nvPicPr>
                  <pic:blipFill>
                    <a:blip r:embed="rId20"/>
                    <a:srcRect b="9078"/>
                    <a:stretch>
                      <a:fillRect/>
                    </a:stretch>
                  </pic:blipFill>
                  <pic:spPr>
                    <a:xfrm>
                      <a:off x="0" y="0"/>
                      <a:ext cx="5385435" cy="8064500"/>
                    </a:xfrm>
                    <a:prstGeom prst="rect">
                      <a:avLst/>
                    </a:prstGeom>
                  </pic:spPr>
                </pic:pic>
              </a:graphicData>
            </a:graphic>
          </wp:inline>
        </w:drawing>
      </w: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附件2 建设项目选址意见书</w:t>
      </w:r>
    </w:p>
    <w:p>
      <w:pPr>
        <w:spacing w:line="240" w:lineRule="auto"/>
        <w:jc w:val="center"/>
        <w:rPr>
          <w:rFonts w:hint="default"/>
        </w:rPr>
      </w:pPr>
      <w:r>
        <w:rPr>
          <w:rFonts w:hint="eastAsia" w:ascii="Times New Roman" w:hAnsi="Times New Roman" w:cs="Times New Roman" w:eastAsiaTheme="minorEastAsia"/>
          <w:color w:val="auto"/>
          <w:highlight w:val="none"/>
          <w:lang w:eastAsia="zh-CN"/>
        </w:rPr>
        <w:drawing>
          <wp:inline distT="0" distB="0" distL="114300" distR="114300">
            <wp:extent cx="8014335" cy="5354320"/>
            <wp:effectExtent l="0" t="0" r="5715" b="17780"/>
            <wp:docPr id="12" name="图片 12" descr="171384289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3842896774"/>
                    <pic:cNvPicPr>
                      <a:picLocks noChangeAspect="1"/>
                    </pic:cNvPicPr>
                  </pic:nvPicPr>
                  <pic:blipFill>
                    <a:blip r:embed="rId21"/>
                    <a:stretch>
                      <a:fillRect/>
                    </a:stretch>
                  </pic:blipFill>
                  <pic:spPr>
                    <a:xfrm>
                      <a:off x="0" y="0"/>
                      <a:ext cx="8014335" cy="5354320"/>
                    </a:xfrm>
                    <a:prstGeom prst="rect">
                      <a:avLst/>
                    </a:prstGeom>
                  </pic:spPr>
                </pic:pic>
              </a:graphicData>
            </a:graphic>
          </wp:inline>
        </w:drawing>
      </w:r>
    </w:p>
    <w:p>
      <w:pPr>
        <w:jc w:val="center"/>
        <w:rPr>
          <w:rFonts w:hint="default" w:ascii="Times New Roman" w:hAnsi="Times New Roman" w:cs="Times New Roman"/>
          <w:color w:val="auto"/>
          <w:highlight w:val="none"/>
        </w:rPr>
        <w:sectPr>
          <w:headerReference r:id="rId9" w:type="default"/>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附件3 </w:t>
      </w:r>
      <w:r>
        <w:rPr>
          <w:rFonts w:hint="eastAsia" w:ascii="Times New Roman" w:hAnsi="Times New Roman" w:cs="Times New Roman"/>
          <w:b/>
          <w:bCs/>
          <w:color w:val="auto"/>
          <w:highlight w:val="none"/>
          <w:lang w:val="en-US" w:eastAsia="zh-CN"/>
        </w:rPr>
        <w:t>公路</w:t>
      </w:r>
      <w:r>
        <w:rPr>
          <w:rFonts w:hint="default" w:ascii="Times New Roman" w:hAnsi="Times New Roman" w:cs="Times New Roman"/>
          <w:b/>
          <w:bCs/>
          <w:color w:val="auto"/>
          <w:highlight w:val="none"/>
        </w:rPr>
        <w:t>局批复意见</w:t>
      </w:r>
    </w:p>
    <w:p>
      <w:pPr>
        <w:pStyle w:val="2"/>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lang w:eastAsia="zh-CN"/>
        </w:rPr>
        <w:drawing>
          <wp:inline distT="0" distB="0" distL="114300" distR="114300">
            <wp:extent cx="5750560" cy="8143875"/>
            <wp:effectExtent l="0" t="0" r="2540" b="9525"/>
            <wp:docPr id="24" name="图片 24" descr="余梁北延施工图批复 公路局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余梁北延施工图批复 公路局批复_页面_1"/>
                    <pic:cNvPicPr>
                      <a:picLocks noChangeAspect="1"/>
                    </pic:cNvPicPr>
                  </pic:nvPicPr>
                  <pic:blipFill>
                    <a:blip r:embed="rId22"/>
                    <a:stretch>
                      <a:fillRect/>
                    </a:stretch>
                  </pic:blipFill>
                  <pic:spPr>
                    <a:xfrm>
                      <a:off x="0" y="0"/>
                      <a:ext cx="5750560" cy="814387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0560" cy="8143875"/>
            <wp:effectExtent l="0" t="0" r="2540" b="9525"/>
            <wp:docPr id="23" name="图片 23" descr="余梁北延施工图批复 公路局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余梁北延施工图批复 公路局批复_页面_2"/>
                    <pic:cNvPicPr>
                      <a:picLocks noChangeAspect="1"/>
                    </pic:cNvPicPr>
                  </pic:nvPicPr>
                  <pic:blipFill>
                    <a:blip r:embed="rId23"/>
                    <a:stretch>
                      <a:fillRect/>
                    </a:stretch>
                  </pic:blipFill>
                  <pic:spPr>
                    <a:xfrm>
                      <a:off x="0" y="0"/>
                      <a:ext cx="5750560" cy="814387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8180" cy="8154670"/>
            <wp:effectExtent l="0" t="0" r="13970" b="17780"/>
            <wp:docPr id="22" name="图片 22" descr="余梁北延施工图批复 公路局批复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余梁北延施工图批复 公路局批复_页面_3"/>
                    <pic:cNvPicPr>
                      <a:picLocks noChangeAspect="1"/>
                    </pic:cNvPicPr>
                  </pic:nvPicPr>
                  <pic:blipFill>
                    <a:blip r:embed="rId24"/>
                    <a:stretch>
                      <a:fillRect/>
                    </a:stretch>
                  </pic:blipFill>
                  <pic:spPr>
                    <a:xfrm>
                      <a:off x="0" y="0"/>
                      <a:ext cx="5758180" cy="8154670"/>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7545" cy="8154035"/>
            <wp:effectExtent l="0" t="0" r="14605" b="18415"/>
            <wp:docPr id="13" name="图片 13" descr="余梁北延施工图批复 公路局批复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余梁北延施工图批复 公路局批复_页面_4"/>
                    <pic:cNvPicPr>
                      <a:picLocks noChangeAspect="1"/>
                    </pic:cNvPicPr>
                  </pic:nvPicPr>
                  <pic:blipFill>
                    <a:blip r:embed="rId25"/>
                    <a:stretch>
                      <a:fillRect/>
                    </a:stretch>
                  </pic:blipFill>
                  <pic:spPr>
                    <a:xfrm>
                      <a:off x="0" y="0"/>
                      <a:ext cx="5757545" cy="8154035"/>
                    </a:xfrm>
                    <a:prstGeom prst="rect">
                      <a:avLst/>
                    </a:prstGeom>
                  </pic:spPr>
                </pic:pic>
              </a:graphicData>
            </a:graphic>
          </wp:inline>
        </w:drawing>
      </w:r>
    </w:p>
    <w:p>
      <w:pPr>
        <w:pStyle w:val="2"/>
        <w:rPr>
          <w:rFonts w:hint="default" w:ascii="Times New Roman" w:hAnsi="Times New Roman" w:cs="Times New Roman"/>
          <w:color w:val="auto"/>
          <w:highlight w:val="none"/>
        </w:rPr>
      </w:pPr>
    </w:p>
    <w:p>
      <w:pPr>
        <w:jc w:val="both"/>
        <w:rPr>
          <w:rFonts w:hint="default" w:ascii="Times New Roman" w:hAnsi="Times New Roman" w:cs="Times New Roman"/>
          <w:color w:val="auto"/>
          <w:highlight w:val="none"/>
        </w:rPr>
      </w:pPr>
    </w:p>
    <w:p>
      <w:pPr>
        <w:jc w:val="center"/>
        <w:rPr>
          <w:rFonts w:hint="default" w:ascii="Times New Roman" w:hAnsi="Times New Roman" w:cs="Times New Roman"/>
          <w:color w:val="auto"/>
          <w:highlight w:val="none"/>
        </w:rPr>
        <w:sectPr>
          <w:headerReference r:id="rId10" w:type="default"/>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eastAsiaTheme="minorEastAsia"/>
          <w:b/>
          <w:bCs/>
          <w:color w:val="auto"/>
          <w:highlight w:val="none"/>
          <w:lang w:val="en-US" w:eastAsia="zh-CN"/>
        </w:rPr>
      </w:pPr>
      <w:r>
        <w:rPr>
          <w:rFonts w:hint="default" w:ascii="Times New Roman" w:hAnsi="Times New Roman" w:cs="Times New Roman"/>
          <w:b/>
          <w:bCs/>
          <w:color w:val="auto"/>
          <w:highlight w:val="none"/>
        </w:rPr>
        <w:t>附件</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val="en-US" w:eastAsia="zh-CN"/>
        </w:rPr>
        <w:t>初步设计的批复</w:t>
      </w: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drawing>
          <wp:inline distT="0" distB="0" distL="114300" distR="114300">
            <wp:extent cx="5765800" cy="8165465"/>
            <wp:effectExtent l="0" t="0" r="6350" b="6985"/>
            <wp:docPr id="3" name="图片 3" descr="北延初步设计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延初步设计_页面_1"/>
                    <pic:cNvPicPr>
                      <a:picLocks noChangeAspect="1"/>
                    </pic:cNvPicPr>
                  </pic:nvPicPr>
                  <pic:blipFill>
                    <a:blip r:embed="rId26"/>
                    <a:stretch>
                      <a:fillRect/>
                    </a:stretch>
                  </pic:blipFill>
                  <pic:spPr>
                    <a:xfrm>
                      <a:off x="0" y="0"/>
                      <a:ext cx="5765800" cy="8165465"/>
                    </a:xfrm>
                    <a:prstGeom prst="rect">
                      <a:avLst/>
                    </a:prstGeom>
                  </pic:spPr>
                </pic:pic>
              </a:graphicData>
            </a:graphic>
          </wp:inline>
        </w:drawing>
      </w:r>
      <w:r>
        <w:rPr>
          <w:rFonts w:hint="default" w:ascii="Times New Roman" w:hAnsi="Times New Roman" w:cs="Times New Roman"/>
          <w:b/>
          <w:bCs/>
          <w:color w:val="auto"/>
          <w:highlight w:val="none"/>
        </w:rPr>
        <w:drawing>
          <wp:inline distT="0" distB="0" distL="114300" distR="114300">
            <wp:extent cx="5757545" cy="8154035"/>
            <wp:effectExtent l="0" t="0" r="14605" b="18415"/>
            <wp:docPr id="2" name="图片 2" descr="北延初步设计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北延初步设计_页面_2"/>
                    <pic:cNvPicPr>
                      <a:picLocks noChangeAspect="1"/>
                    </pic:cNvPicPr>
                  </pic:nvPicPr>
                  <pic:blipFill>
                    <a:blip r:embed="rId27"/>
                    <a:stretch>
                      <a:fillRect/>
                    </a:stretch>
                  </pic:blipFill>
                  <pic:spPr>
                    <a:xfrm>
                      <a:off x="0" y="0"/>
                      <a:ext cx="5757545" cy="8154035"/>
                    </a:xfrm>
                    <a:prstGeom prst="rect">
                      <a:avLst/>
                    </a:prstGeom>
                  </pic:spPr>
                </pic:pic>
              </a:graphicData>
            </a:graphic>
          </wp:inline>
        </w:drawing>
      </w:r>
      <w:r>
        <w:rPr>
          <w:rFonts w:hint="default" w:ascii="Times New Roman" w:hAnsi="Times New Roman" w:cs="Times New Roman"/>
          <w:b/>
          <w:bCs/>
          <w:color w:val="auto"/>
          <w:highlight w:val="none"/>
        </w:rPr>
        <w:drawing>
          <wp:inline distT="0" distB="0" distL="114300" distR="114300">
            <wp:extent cx="5750560" cy="8143875"/>
            <wp:effectExtent l="0" t="0" r="2540" b="9525"/>
            <wp:docPr id="1" name="图片 1" descr="北延初步设计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北延初步设计_页面_3"/>
                    <pic:cNvPicPr>
                      <a:picLocks noChangeAspect="1"/>
                    </pic:cNvPicPr>
                  </pic:nvPicPr>
                  <pic:blipFill>
                    <a:blip r:embed="rId28"/>
                    <a:stretch>
                      <a:fillRect/>
                    </a:stretch>
                  </pic:blipFill>
                  <pic:spPr>
                    <a:xfrm>
                      <a:off x="0" y="0"/>
                      <a:ext cx="5750560" cy="8143875"/>
                    </a:xfrm>
                    <a:prstGeom prst="rect">
                      <a:avLst/>
                    </a:prstGeom>
                  </pic:spPr>
                </pic:pic>
              </a:graphicData>
            </a:graphic>
          </wp:inline>
        </w:drawing>
      </w:r>
      <w:r>
        <w:rPr>
          <w:rFonts w:hint="default" w:ascii="Times New Roman" w:hAnsi="Times New Roman" w:cs="Times New Roman"/>
          <w:b/>
          <w:bCs/>
          <w:color w:val="auto"/>
          <w:highlight w:val="none"/>
        </w:rPr>
        <w:br w:type="page"/>
      </w:r>
    </w:p>
    <w:p>
      <w:pPr>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w:t>
      </w: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检测</w:t>
      </w:r>
      <w:r>
        <w:rPr>
          <w:rFonts w:hint="default" w:ascii="Times New Roman" w:hAnsi="Times New Roman" w:cs="Times New Roman"/>
          <w:b/>
          <w:bCs/>
          <w:color w:val="auto"/>
          <w:highlight w:val="none"/>
        </w:rPr>
        <w:t>报告</w:t>
      </w:r>
    </w:p>
    <w:p>
      <w:pP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14" name="图片 14" descr="240219宁波舜通集团有限公司-余梁公路北延工程Ⅰ、Ⅱ标段.doc222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0219宁波舜通集团有限公司-余梁公路北延工程Ⅰ、Ⅱ标段.doc222_页面_01"/>
                    <pic:cNvPicPr>
                      <a:picLocks noChangeAspect="1"/>
                    </pic:cNvPicPr>
                  </pic:nvPicPr>
                  <pic:blipFill>
                    <a:blip r:embed="rId29"/>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8815" cy="8145780"/>
            <wp:effectExtent l="0" t="0" r="13335" b="7620"/>
            <wp:docPr id="16" name="图片 16" descr="240219宁波舜通集团有限公司-余梁公路北延工程Ⅰ、Ⅱ标段.doc222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0219宁波舜通集团有限公司-余梁公路北延工程Ⅰ、Ⅱ标段.doc222_页面_02"/>
                    <pic:cNvPicPr>
                      <a:picLocks noChangeAspect="1"/>
                    </pic:cNvPicPr>
                  </pic:nvPicPr>
                  <pic:blipFill>
                    <a:blip r:embed="rId30"/>
                    <a:stretch>
                      <a:fillRect/>
                    </a:stretch>
                  </pic:blipFill>
                  <pic:spPr>
                    <a:xfrm>
                      <a:off x="0" y="0"/>
                      <a:ext cx="5758815" cy="8145780"/>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17" name="图片 17" descr="240219宁波舜通集团有限公司-余梁公路北延工程Ⅰ、Ⅱ标段.doc222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40219宁波舜通集团有限公司-余梁公路北延工程Ⅰ、Ⅱ标段.doc222_页面_03"/>
                    <pic:cNvPicPr>
                      <a:picLocks noChangeAspect="1"/>
                    </pic:cNvPicPr>
                  </pic:nvPicPr>
                  <pic:blipFill>
                    <a:blip r:embed="rId31"/>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18" name="图片 18" descr="240219宁波舜通集团有限公司-余梁公路北延工程Ⅰ、Ⅱ标段.doc222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40219宁波舜通集团有限公司-余梁公路北延工程Ⅰ、Ⅱ标段.doc222_页面_04"/>
                    <pic:cNvPicPr>
                      <a:picLocks noChangeAspect="1"/>
                    </pic:cNvPicPr>
                  </pic:nvPicPr>
                  <pic:blipFill>
                    <a:blip r:embed="rId32"/>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19" name="图片 19" descr="240219宁波舜通集团有限公司-余梁公路北延工程Ⅰ、Ⅱ标段.doc222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0219宁波舜通集团有限公司-余梁公路北延工程Ⅰ、Ⅱ标段.doc222_页面_05"/>
                    <pic:cNvPicPr>
                      <a:picLocks noChangeAspect="1"/>
                    </pic:cNvPicPr>
                  </pic:nvPicPr>
                  <pic:blipFill>
                    <a:blip r:embed="rId33"/>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20" name="图片 20" descr="240219宁波舜通集团有限公司-余梁公路北延工程Ⅰ、Ⅱ标段.doc222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40219宁波舜通集团有限公司-余梁公路北延工程Ⅰ、Ⅱ标段.doc222_页面_06"/>
                    <pic:cNvPicPr>
                      <a:picLocks noChangeAspect="1"/>
                    </pic:cNvPicPr>
                  </pic:nvPicPr>
                  <pic:blipFill>
                    <a:blip r:embed="rId34"/>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1175"/>
            <wp:effectExtent l="0" t="0" r="17145" b="3175"/>
            <wp:docPr id="21" name="图片 21" descr="240219宁波舜通集团有限公司-余梁公路北延工程Ⅰ、Ⅱ标段.doc222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40219宁波舜通集团有限公司-余梁公路北延工程Ⅰ、Ⅱ标段.doc222_页面_07"/>
                    <pic:cNvPicPr>
                      <a:picLocks noChangeAspect="1"/>
                    </pic:cNvPicPr>
                  </pic:nvPicPr>
                  <pic:blipFill>
                    <a:blip r:embed="rId35"/>
                    <a:stretch>
                      <a:fillRect/>
                    </a:stretch>
                  </pic:blipFill>
                  <pic:spPr>
                    <a:xfrm>
                      <a:off x="0" y="0"/>
                      <a:ext cx="5755005" cy="813117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25" name="图片 25" descr="240219宁波舜通集团有限公司-余梁公路北延工程Ⅰ、Ⅱ标段.doc222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40219宁波舜通集团有限公司-余梁公路北延工程Ⅰ、Ⅱ标段.doc222_页面_08"/>
                    <pic:cNvPicPr>
                      <a:picLocks noChangeAspect="1"/>
                    </pic:cNvPicPr>
                  </pic:nvPicPr>
                  <pic:blipFill>
                    <a:blip r:embed="rId36"/>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26" name="图片 26" descr="240219宁波舜通集团有限公司-余梁公路北延工程Ⅰ、Ⅱ标段.doc222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40219宁波舜通集团有限公司-余梁公路北延工程Ⅰ、Ⅱ标段.doc222_页面_09"/>
                    <pic:cNvPicPr>
                      <a:picLocks noChangeAspect="1"/>
                    </pic:cNvPicPr>
                  </pic:nvPicPr>
                  <pic:blipFill>
                    <a:blip r:embed="rId37"/>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4" name="图片 4" descr="240219宁波舜通集团有限公司-余梁公路北延工程Ⅰ、Ⅱ标段.doc222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0219宁波舜通集团有限公司-余梁公路北延工程Ⅰ、Ⅱ标段.doc222_页面_10"/>
                    <pic:cNvPicPr>
                      <a:picLocks noChangeAspect="1"/>
                    </pic:cNvPicPr>
                  </pic:nvPicPr>
                  <pic:blipFill>
                    <a:blip r:embed="rId38"/>
                    <a:stretch>
                      <a:fillRect/>
                    </a:stretch>
                  </pic:blipFill>
                  <pic:spPr>
                    <a:xfrm>
                      <a:off x="0" y="0"/>
                      <a:ext cx="5755005" cy="8134985"/>
                    </a:xfrm>
                    <a:prstGeom prst="rect">
                      <a:avLst/>
                    </a:prstGeom>
                  </pic:spPr>
                </pic:pic>
              </a:graphicData>
            </a:graphic>
          </wp:inline>
        </w:drawing>
      </w:r>
      <w:bookmarkStart w:id="10" w:name="_GoBack"/>
      <w:bookmarkEnd w:id="10"/>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86"/>
    <w:family w:val="auto"/>
    <w:pitch w:val="default"/>
    <w:sig w:usb0="00000000" w:usb1="00000000" w:usb2="00000010" w:usb3="00000000" w:csb0="00040000" w:csb1="00000000"/>
  </w:font>
  <w:font w:name="F2">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23</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center"/>
      <w:rPr>
        <w:rFonts w:ascii="黑体" w:hAnsi="黑体" w:eastAsia="黑体" w:cs="黑体"/>
        <w:sz w:val="18"/>
        <w:szCs w:val="18"/>
      </w:rPr>
    </w:pPr>
    <w:r>
      <w:rPr>
        <w:rFonts w:hint="eastAsia" w:ascii="黑体" w:hAnsi="黑体" w:eastAsia="黑体" w:cs="黑体"/>
        <w:sz w:val="18"/>
        <w:szCs w:val="18"/>
        <w:lang w:eastAsia="zh-CN"/>
      </w:rPr>
      <w:t>余姚市余梁公路北延工程I、II标段工程建设项目</w:t>
    </w:r>
    <w:r>
      <w:rPr>
        <w:rFonts w:hint="eastAsia" w:ascii="黑体" w:hAnsi="黑体" w:eastAsia="黑体" w:cs="黑体"/>
        <w:sz w:val="18"/>
        <w:szCs w:val="18"/>
      </w:rPr>
      <w:t>竣工环境保护验收调查报告</w:t>
    </w:r>
  </w:p>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center"/>
      <w:rPr>
        <w:rFonts w:ascii="黑体" w:hAnsi="黑体" w:eastAsia="黑体" w:cs="黑体"/>
        <w:sz w:val="18"/>
        <w:szCs w:val="18"/>
      </w:rPr>
    </w:pPr>
  </w:p>
  <w:p>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14F3E"/>
    <w:multiLevelType w:val="singleLevel"/>
    <w:tmpl w:val="92614F3E"/>
    <w:lvl w:ilvl="0" w:tentative="0">
      <w:start w:val="1"/>
      <w:numFmt w:val="decimal"/>
      <w:suff w:val="nothing"/>
      <w:lvlText w:val="（%1）"/>
      <w:lvlJc w:val="left"/>
    </w:lvl>
  </w:abstractNum>
  <w:abstractNum w:abstractNumId="1">
    <w:nsid w:val="F3232942"/>
    <w:multiLevelType w:val="singleLevel"/>
    <w:tmpl w:val="F3232942"/>
    <w:lvl w:ilvl="0" w:tentative="0">
      <w:start w:val="1"/>
      <w:numFmt w:val="decimal"/>
      <w:suff w:val="nothing"/>
      <w:lvlText w:val="%1、"/>
      <w:lvlJc w:val="left"/>
    </w:lvl>
  </w:abstractNum>
  <w:abstractNum w:abstractNumId="2">
    <w:nsid w:val="FC340989"/>
    <w:multiLevelType w:val="singleLevel"/>
    <w:tmpl w:val="FC340989"/>
    <w:lvl w:ilvl="0" w:tentative="0">
      <w:start w:val="1"/>
      <w:numFmt w:val="decimal"/>
      <w:suff w:val="nothing"/>
      <w:lvlText w:val="%1、"/>
      <w:lvlJc w:val="left"/>
    </w:lvl>
  </w:abstractNum>
  <w:abstractNum w:abstractNumId="3">
    <w:nsid w:val="02C67ACC"/>
    <w:multiLevelType w:val="singleLevel"/>
    <w:tmpl w:val="02C67ACC"/>
    <w:lvl w:ilvl="0" w:tentative="0">
      <w:start w:val="2"/>
      <w:numFmt w:val="chineseCounting"/>
      <w:suff w:val="nothing"/>
      <w:lvlText w:val="%1、"/>
      <w:lvlJc w:val="left"/>
      <w:rPr>
        <w:rFonts w:hint="eastAsia"/>
      </w:rPr>
    </w:lvl>
  </w:abstractNum>
  <w:abstractNum w:abstractNumId="4">
    <w:nsid w:val="30FA6DEE"/>
    <w:multiLevelType w:val="singleLevel"/>
    <w:tmpl w:val="30FA6DEE"/>
    <w:lvl w:ilvl="0" w:tentative="0">
      <w:start w:val="2"/>
      <w:numFmt w:val="decimal"/>
      <w:suff w:val="nothing"/>
      <w:lvlText w:val="（%1）"/>
      <w:lvlJc w:val="left"/>
    </w:lvl>
  </w:abstractNum>
  <w:abstractNum w:abstractNumId="5">
    <w:nsid w:val="32AB0D31"/>
    <w:multiLevelType w:val="singleLevel"/>
    <w:tmpl w:val="32AB0D31"/>
    <w:lvl w:ilvl="0" w:tentative="0">
      <w:start w:val="1"/>
      <w:numFmt w:val="decimal"/>
      <w:suff w:val="nothing"/>
      <w:lvlText w:val="（%1）"/>
      <w:lvlJc w:val="left"/>
    </w:lvl>
  </w:abstractNum>
  <w:abstractNum w:abstractNumId="6">
    <w:nsid w:val="47341E1D"/>
    <w:multiLevelType w:val="singleLevel"/>
    <w:tmpl w:val="47341E1D"/>
    <w:lvl w:ilvl="0" w:tentative="0">
      <w:start w:val="5"/>
      <w:numFmt w:val="decimal"/>
      <w:suff w:val="nothing"/>
      <w:lvlText w:val="%1）"/>
      <w:lvlJc w:val="left"/>
    </w:lvl>
  </w:abstractNum>
  <w:abstractNum w:abstractNumId="7">
    <w:nsid w:val="6A3151A3"/>
    <w:multiLevelType w:val="singleLevel"/>
    <w:tmpl w:val="6A3151A3"/>
    <w:lvl w:ilvl="0" w:tentative="0">
      <w:start w:val="1"/>
      <w:numFmt w:val="decimal"/>
      <w:lvlText w:val="(%1)"/>
      <w:lvlJc w:val="left"/>
      <w:pPr>
        <w:tabs>
          <w:tab w:val="left" w:pos="312"/>
        </w:tabs>
      </w:pPr>
    </w:lvl>
  </w:abstractNum>
  <w:num w:numId="1">
    <w:abstractNumId w:val="5"/>
  </w:num>
  <w:num w:numId="2">
    <w:abstractNumId w:val="1"/>
  </w:num>
  <w:num w:numId="3">
    <w:abstractNumId w:val="2"/>
  </w:num>
  <w:num w:numId="4">
    <w:abstractNumId w:val="4"/>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NhOGQ5NDdlMzcwM2YyZDM2ODgyMGJkZWNlZjczMDQifQ=="/>
  </w:docVars>
  <w:rsids>
    <w:rsidRoot w:val="00172A27"/>
    <w:rsid w:val="00052F4B"/>
    <w:rsid w:val="000C7867"/>
    <w:rsid w:val="000D5650"/>
    <w:rsid w:val="000E2B9C"/>
    <w:rsid w:val="00126043"/>
    <w:rsid w:val="0019546A"/>
    <w:rsid w:val="001A6E0A"/>
    <w:rsid w:val="00214B0F"/>
    <w:rsid w:val="00252518"/>
    <w:rsid w:val="00267F2B"/>
    <w:rsid w:val="00313EC0"/>
    <w:rsid w:val="003310A9"/>
    <w:rsid w:val="00356A09"/>
    <w:rsid w:val="00361986"/>
    <w:rsid w:val="003E0259"/>
    <w:rsid w:val="00467240"/>
    <w:rsid w:val="00472DC6"/>
    <w:rsid w:val="004827CA"/>
    <w:rsid w:val="00515EE5"/>
    <w:rsid w:val="00555DB1"/>
    <w:rsid w:val="00567601"/>
    <w:rsid w:val="00567F55"/>
    <w:rsid w:val="0059428B"/>
    <w:rsid w:val="006013E7"/>
    <w:rsid w:val="006F7C4F"/>
    <w:rsid w:val="007402FD"/>
    <w:rsid w:val="00787672"/>
    <w:rsid w:val="00793B28"/>
    <w:rsid w:val="00794B4E"/>
    <w:rsid w:val="007E4236"/>
    <w:rsid w:val="00806968"/>
    <w:rsid w:val="008109D6"/>
    <w:rsid w:val="00823E16"/>
    <w:rsid w:val="0083066E"/>
    <w:rsid w:val="008842CC"/>
    <w:rsid w:val="008E215A"/>
    <w:rsid w:val="009A2668"/>
    <w:rsid w:val="009E4469"/>
    <w:rsid w:val="00A2245B"/>
    <w:rsid w:val="00A8737A"/>
    <w:rsid w:val="00B35D99"/>
    <w:rsid w:val="00B56B3B"/>
    <w:rsid w:val="00B9712C"/>
    <w:rsid w:val="00BC790C"/>
    <w:rsid w:val="00BD6B77"/>
    <w:rsid w:val="00C44417"/>
    <w:rsid w:val="00C71B5E"/>
    <w:rsid w:val="00CA2ADC"/>
    <w:rsid w:val="00CA3467"/>
    <w:rsid w:val="00CE2913"/>
    <w:rsid w:val="00D02D58"/>
    <w:rsid w:val="00D305BE"/>
    <w:rsid w:val="00D47663"/>
    <w:rsid w:val="00DA3246"/>
    <w:rsid w:val="00E02AA1"/>
    <w:rsid w:val="00E71923"/>
    <w:rsid w:val="00EA22FB"/>
    <w:rsid w:val="00F13C41"/>
    <w:rsid w:val="00F14A34"/>
    <w:rsid w:val="00F1666F"/>
    <w:rsid w:val="00F76E3B"/>
    <w:rsid w:val="00FC57FE"/>
    <w:rsid w:val="00FD557B"/>
    <w:rsid w:val="00FE6327"/>
    <w:rsid w:val="00FF5141"/>
    <w:rsid w:val="01C87BD5"/>
    <w:rsid w:val="01E7687A"/>
    <w:rsid w:val="01F44E7D"/>
    <w:rsid w:val="01FE5EC2"/>
    <w:rsid w:val="02063727"/>
    <w:rsid w:val="0212162C"/>
    <w:rsid w:val="027D2D3A"/>
    <w:rsid w:val="02C66B5F"/>
    <w:rsid w:val="02DB662C"/>
    <w:rsid w:val="030B60A4"/>
    <w:rsid w:val="04025141"/>
    <w:rsid w:val="05732120"/>
    <w:rsid w:val="05FA4461"/>
    <w:rsid w:val="05FB3102"/>
    <w:rsid w:val="069D0909"/>
    <w:rsid w:val="06DE29E2"/>
    <w:rsid w:val="07AA7F87"/>
    <w:rsid w:val="08DC732E"/>
    <w:rsid w:val="08F518D5"/>
    <w:rsid w:val="09547422"/>
    <w:rsid w:val="099C470C"/>
    <w:rsid w:val="09A06FD7"/>
    <w:rsid w:val="09BA18CD"/>
    <w:rsid w:val="0A636449"/>
    <w:rsid w:val="0ACA2170"/>
    <w:rsid w:val="0B526A3D"/>
    <w:rsid w:val="0C5F7F29"/>
    <w:rsid w:val="0CCC3CAA"/>
    <w:rsid w:val="0CE10BEE"/>
    <w:rsid w:val="0CF218A6"/>
    <w:rsid w:val="0D830DF3"/>
    <w:rsid w:val="0D8916FC"/>
    <w:rsid w:val="0D8D0BB4"/>
    <w:rsid w:val="0D8E733B"/>
    <w:rsid w:val="0DFF4F4B"/>
    <w:rsid w:val="0E404C3E"/>
    <w:rsid w:val="0E7E2314"/>
    <w:rsid w:val="0E9C193B"/>
    <w:rsid w:val="0EE24651"/>
    <w:rsid w:val="0F011733"/>
    <w:rsid w:val="0F030764"/>
    <w:rsid w:val="0FD144B5"/>
    <w:rsid w:val="101C1DE4"/>
    <w:rsid w:val="103B0EBE"/>
    <w:rsid w:val="104E427C"/>
    <w:rsid w:val="11463493"/>
    <w:rsid w:val="1182343E"/>
    <w:rsid w:val="12443FAE"/>
    <w:rsid w:val="127C1B18"/>
    <w:rsid w:val="12B9609A"/>
    <w:rsid w:val="12DC3087"/>
    <w:rsid w:val="130456A4"/>
    <w:rsid w:val="130C1A76"/>
    <w:rsid w:val="13B1234C"/>
    <w:rsid w:val="13F263DD"/>
    <w:rsid w:val="14AB2224"/>
    <w:rsid w:val="14E829E9"/>
    <w:rsid w:val="15004E72"/>
    <w:rsid w:val="154C20B3"/>
    <w:rsid w:val="15877787"/>
    <w:rsid w:val="158B49EE"/>
    <w:rsid w:val="16072D94"/>
    <w:rsid w:val="166D77D0"/>
    <w:rsid w:val="16A02BFD"/>
    <w:rsid w:val="17BF57E1"/>
    <w:rsid w:val="18916B02"/>
    <w:rsid w:val="18C01FF7"/>
    <w:rsid w:val="18F4587F"/>
    <w:rsid w:val="18F908E5"/>
    <w:rsid w:val="19805192"/>
    <w:rsid w:val="1997072D"/>
    <w:rsid w:val="19BD39CD"/>
    <w:rsid w:val="19D11F40"/>
    <w:rsid w:val="1A1C3BCE"/>
    <w:rsid w:val="1A642A1E"/>
    <w:rsid w:val="1AB83836"/>
    <w:rsid w:val="1B9413C8"/>
    <w:rsid w:val="1B96601C"/>
    <w:rsid w:val="1BD241B7"/>
    <w:rsid w:val="1C0F064A"/>
    <w:rsid w:val="1CD8782C"/>
    <w:rsid w:val="1D097956"/>
    <w:rsid w:val="1D73715D"/>
    <w:rsid w:val="1DDC4792"/>
    <w:rsid w:val="1ED01498"/>
    <w:rsid w:val="1F0C74C8"/>
    <w:rsid w:val="1F467FFE"/>
    <w:rsid w:val="1F5B35E5"/>
    <w:rsid w:val="1F6F376E"/>
    <w:rsid w:val="20A35892"/>
    <w:rsid w:val="221A4873"/>
    <w:rsid w:val="2222398D"/>
    <w:rsid w:val="22431751"/>
    <w:rsid w:val="225B336B"/>
    <w:rsid w:val="24906098"/>
    <w:rsid w:val="24EA3E07"/>
    <w:rsid w:val="25432D3E"/>
    <w:rsid w:val="25790E5B"/>
    <w:rsid w:val="25792728"/>
    <w:rsid w:val="25D21785"/>
    <w:rsid w:val="269C0D1B"/>
    <w:rsid w:val="26A01827"/>
    <w:rsid w:val="26E71B6F"/>
    <w:rsid w:val="26EE152E"/>
    <w:rsid w:val="270D0281"/>
    <w:rsid w:val="27C30177"/>
    <w:rsid w:val="280E6CD6"/>
    <w:rsid w:val="28384B33"/>
    <w:rsid w:val="28ED57AF"/>
    <w:rsid w:val="292032E8"/>
    <w:rsid w:val="294010CA"/>
    <w:rsid w:val="29584F9D"/>
    <w:rsid w:val="297C16B6"/>
    <w:rsid w:val="2A6040CB"/>
    <w:rsid w:val="2ADD554B"/>
    <w:rsid w:val="2AFA7CA4"/>
    <w:rsid w:val="2B033F86"/>
    <w:rsid w:val="2B1B4665"/>
    <w:rsid w:val="2C140C78"/>
    <w:rsid w:val="2C2B5559"/>
    <w:rsid w:val="2C972AC7"/>
    <w:rsid w:val="2D3A44A3"/>
    <w:rsid w:val="2DB00D70"/>
    <w:rsid w:val="2FC202D3"/>
    <w:rsid w:val="2FDA1BFA"/>
    <w:rsid w:val="2FF67D6C"/>
    <w:rsid w:val="304473BA"/>
    <w:rsid w:val="30F36F1A"/>
    <w:rsid w:val="31662A68"/>
    <w:rsid w:val="318F6419"/>
    <w:rsid w:val="31E02E45"/>
    <w:rsid w:val="31EC461C"/>
    <w:rsid w:val="32984FE4"/>
    <w:rsid w:val="3326617C"/>
    <w:rsid w:val="333B290A"/>
    <w:rsid w:val="334F66DF"/>
    <w:rsid w:val="33A357B4"/>
    <w:rsid w:val="34265387"/>
    <w:rsid w:val="355A1A39"/>
    <w:rsid w:val="356F6DC2"/>
    <w:rsid w:val="35C1553D"/>
    <w:rsid w:val="35D96D37"/>
    <w:rsid w:val="36A60AE9"/>
    <w:rsid w:val="36AE610C"/>
    <w:rsid w:val="36CF27C1"/>
    <w:rsid w:val="374022CB"/>
    <w:rsid w:val="37DA17FB"/>
    <w:rsid w:val="380265F4"/>
    <w:rsid w:val="380F0075"/>
    <w:rsid w:val="383858EF"/>
    <w:rsid w:val="387C2592"/>
    <w:rsid w:val="38F14D8A"/>
    <w:rsid w:val="3963753B"/>
    <w:rsid w:val="3A3758E9"/>
    <w:rsid w:val="3A5652E3"/>
    <w:rsid w:val="3A6C1AE9"/>
    <w:rsid w:val="3AE71CFD"/>
    <w:rsid w:val="3B6D5C77"/>
    <w:rsid w:val="3C5E3B51"/>
    <w:rsid w:val="3C5F4F8B"/>
    <w:rsid w:val="3CA10519"/>
    <w:rsid w:val="3D0D46E2"/>
    <w:rsid w:val="3D60473B"/>
    <w:rsid w:val="3D741429"/>
    <w:rsid w:val="3D7B6714"/>
    <w:rsid w:val="3D7F3F8B"/>
    <w:rsid w:val="3DEE6A9A"/>
    <w:rsid w:val="3E74197E"/>
    <w:rsid w:val="3EB72AC4"/>
    <w:rsid w:val="3EDB0A22"/>
    <w:rsid w:val="3F3E6DD2"/>
    <w:rsid w:val="400F0C4D"/>
    <w:rsid w:val="409C6103"/>
    <w:rsid w:val="40BA00AF"/>
    <w:rsid w:val="40E965C2"/>
    <w:rsid w:val="41DE31EC"/>
    <w:rsid w:val="42F636FE"/>
    <w:rsid w:val="43643C52"/>
    <w:rsid w:val="439B2322"/>
    <w:rsid w:val="44B244EA"/>
    <w:rsid w:val="44C47798"/>
    <w:rsid w:val="44D04B28"/>
    <w:rsid w:val="458D1BA0"/>
    <w:rsid w:val="458F629B"/>
    <w:rsid w:val="45C676B7"/>
    <w:rsid w:val="467F3D2C"/>
    <w:rsid w:val="46DF70EC"/>
    <w:rsid w:val="47256828"/>
    <w:rsid w:val="4738716D"/>
    <w:rsid w:val="477041E8"/>
    <w:rsid w:val="477B2F78"/>
    <w:rsid w:val="47D62F47"/>
    <w:rsid w:val="47D91483"/>
    <w:rsid w:val="486D2032"/>
    <w:rsid w:val="491B4BB1"/>
    <w:rsid w:val="49A63663"/>
    <w:rsid w:val="4A7D206A"/>
    <w:rsid w:val="4ACA5C5C"/>
    <w:rsid w:val="4B5D4D2E"/>
    <w:rsid w:val="4C4A0FA6"/>
    <w:rsid w:val="4E131515"/>
    <w:rsid w:val="4E1E433A"/>
    <w:rsid w:val="4E5759E4"/>
    <w:rsid w:val="4E922A90"/>
    <w:rsid w:val="4EE62ED3"/>
    <w:rsid w:val="4FA07BA9"/>
    <w:rsid w:val="50DE46CC"/>
    <w:rsid w:val="512654AD"/>
    <w:rsid w:val="51324300"/>
    <w:rsid w:val="51FC0D1B"/>
    <w:rsid w:val="544D3E0A"/>
    <w:rsid w:val="544F6F61"/>
    <w:rsid w:val="54BB7197"/>
    <w:rsid w:val="55013502"/>
    <w:rsid w:val="55FF585A"/>
    <w:rsid w:val="56541C63"/>
    <w:rsid w:val="57D91936"/>
    <w:rsid w:val="582E76CB"/>
    <w:rsid w:val="584A7B00"/>
    <w:rsid w:val="58603361"/>
    <w:rsid w:val="58713DE0"/>
    <w:rsid w:val="58A50EE9"/>
    <w:rsid w:val="5A2F1CE1"/>
    <w:rsid w:val="5A65232C"/>
    <w:rsid w:val="5AC00D88"/>
    <w:rsid w:val="5BB029AE"/>
    <w:rsid w:val="5C613A0A"/>
    <w:rsid w:val="5CC93D3B"/>
    <w:rsid w:val="5D774498"/>
    <w:rsid w:val="5E1C4595"/>
    <w:rsid w:val="5E7865CC"/>
    <w:rsid w:val="5EC724E8"/>
    <w:rsid w:val="5EC944B2"/>
    <w:rsid w:val="5EE034B3"/>
    <w:rsid w:val="5F296CFF"/>
    <w:rsid w:val="5F3C7212"/>
    <w:rsid w:val="5FA00DEE"/>
    <w:rsid w:val="602F04A5"/>
    <w:rsid w:val="60A97CDB"/>
    <w:rsid w:val="60F1077E"/>
    <w:rsid w:val="611D461D"/>
    <w:rsid w:val="625F661D"/>
    <w:rsid w:val="62D2461D"/>
    <w:rsid w:val="632859FD"/>
    <w:rsid w:val="633A01D1"/>
    <w:rsid w:val="640666A4"/>
    <w:rsid w:val="6413424A"/>
    <w:rsid w:val="643E12CB"/>
    <w:rsid w:val="643E296D"/>
    <w:rsid w:val="64671CEB"/>
    <w:rsid w:val="64B7476E"/>
    <w:rsid w:val="64E009B4"/>
    <w:rsid w:val="6576781D"/>
    <w:rsid w:val="65B317C0"/>
    <w:rsid w:val="65EC6686"/>
    <w:rsid w:val="65FC516D"/>
    <w:rsid w:val="66404B94"/>
    <w:rsid w:val="666726D4"/>
    <w:rsid w:val="669F6D03"/>
    <w:rsid w:val="66C22093"/>
    <w:rsid w:val="66DA3E7F"/>
    <w:rsid w:val="67000C8D"/>
    <w:rsid w:val="6707483D"/>
    <w:rsid w:val="67663E38"/>
    <w:rsid w:val="67733253"/>
    <w:rsid w:val="677E595B"/>
    <w:rsid w:val="681C1AF7"/>
    <w:rsid w:val="69015DDF"/>
    <w:rsid w:val="690F2202"/>
    <w:rsid w:val="6939182E"/>
    <w:rsid w:val="695F7DFE"/>
    <w:rsid w:val="69B7148B"/>
    <w:rsid w:val="69C140DA"/>
    <w:rsid w:val="6A0E546F"/>
    <w:rsid w:val="6AEC1246"/>
    <w:rsid w:val="6B596BBE"/>
    <w:rsid w:val="6B8A7F38"/>
    <w:rsid w:val="6CFB3A09"/>
    <w:rsid w:val="6D090170"/>
    <w:rsid w:val="6DF404BE"/>
    <w:rsid w:val="6E121744"/>
    <w:rsid w:val="6E3B0001"/>
    <w:rsid w:val="6E7406AB"/>
    <w:rsid w:val="6E7B3B59"/>
    <w:rsid w:val="6EC77E97"/>
    <w:rsid w:val="6ECB1AE1"/>
    <w:rsid w:val="6EEB5D7F"/>
    <w:rsid w:val="6FB42829"/>
    <w:rsid w:val="6FC25168"/>
    <w:rsid w:val="6FEA4288"/>
    <w:rsid w:val="70915BFF"/>
    <w:rsid w:val="709314BB"/>
    <w:rsid w:val="70FC24C5"/>
    <w:rsid w:val="71364047"/>
    <w:rsid w:val="71567590"/>
    <w:rsid w:val="716D0158"/>
    <w:rsid w:val="71F32F26"/>
    <w:rsid w:val="721E51E3"/>
    <w:rsid w:val="72704323"/>
    <w:rsid w:val="72CE03D3"/>
    <w:rsid w:val="7309404B"/>
    <w:rsid w:val="73902361"/>
    <w:rsid w:val="741E447D"/>
    <w:rsid w:val="743422DB"/>
    <w:rsid w:val="744723F6"/>
    <w:rsid w:val="745910D1"/>
    <w:rsid w:val="74786EAC"/>
    <w:rsid w:val="748B2A7E"/>
    <w:rsid w:val="751766F6"/>
    <w:rsid w:val="76094174"/>
    <w:rsid w:val="764B2DCD"/>
    <w:rsid w:val="765F3762"/>
    <w:rsid w:val="76607443"/>
    <w:rsid w:val="76FA1255"/>
    <w:rsid w:val="77183580"/>
    <w:rsid w:val="77A141A5"/>
    <w:rsid w:val="77AB5BE6"/>
    <w:rsid w:val="78535ECF"/>
    <w:rsid w:val="79A7198C"/>
    <w:rsid w:val="7AB47064"/>
    <w:rsid w:val="7AFE508C"/>
    <w:rsid w:val="7B8E4865"/>
    <w:rsid w:val="7BAC1CF8"/>
    <w:rsid w:val="7BF824FE"/>
    <w:rsid w:val="7C050CDE"/>
    <w:rsid w:val="7C094DAC"/>
    <w:rsid w:val="7CE61411"/>
    <w:rsid w:val="7D4C105F"/>
    <w:rsid w:val="7D714EC3"/>
    <w:rsid w:val="7E3349DB"/>
    <w:rsid w:val="7E5A4CCF"/>
    <w:rsid w:val="7E7E5D1C"/>
    <w:rsid w:val="7EA37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line="576" w:lineRule="auto"/>
      <w:outlineLvl w:val="0"/>
    </w:pPr>
    <w:rPr>
      <w:b/>
      <w:kern w:val="44"/>
      <w:sz w:val="32"/>
    </w:rPr>
  </w:style>
  <w:style w:type="paragraph" w:styleId="4">
    <w:name w:val="heading 2"/>
    <w:basedOn w:val="5"/>
    <w:next w:val="5"/>
    <w:autoRedefine/>
    <w:unhideWhenUsed/>
    <w:qFormat/>
    <w:uiPriority w:val="0"/>
    <w:pPr>
      <w:keepNext/>
      <w:keepLines/>
      <w:spacing w:line="413" w:lineRule="auto"/>
      <w:outlineLvl w:val="1"/>
    </w:pPr>
    <w:rPr>
      <w:rFonts w:ascii="Arial" w:hAnsi="Arial" w:eastAsia="黑体"/>
      <w:b/>
      <w:sz w:val="32"/>
    </w:rPr>
  </w:style>
  <w:style w:type="paragraph" w:styleId="6">
    <w:name w:val="heading 3"/>
    <w:basedOn w:val="1"/>
    <w:next w:val="1"/>
    <w:autoRedefine/>
    <w:unhideWhenUsed/>
    <w:qFormat/>
    <w:uiPriority w:val="0"/>
    <w:pPr>
      <w:keepNext/>
      <w:keepLines/>
      <w:spacing w:line="413" w:lineRule="auto"/>
      <w:outlineLvl w:val="2"/>
    </w:pPr>
    <w:rPr>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qFormat/>
    <w:uiPriority w:val="0"/>
    <w:rPr>
      <w:rFonts w:ascii="宋体" w:hAnsi="Courier New"/>
    </w:rPr>
  </w:style>
  <w:style w:type="paragraph" w:customStyle="1" w:styleId="5">
    <w:name w:val="环评表正文"/>
    <w:autoRedefine/>
    <w:qFormat/>
    <w:uiPriority w:val="0"/>
    <w:pPr>
      <w:spacing w:line="360" w:lineRule="auto"/>
      <w:ind w:firstLine="880" w:firstLineChars="200"/>
      <w:jc w:val="both"/>
    </w:pPr>
    <w:rPr>
      <w:rFonts w:ascii="Times New Roman" w:hAnsi="Times New Roman" w:eastAsia="宋体" w:cstheme="minorBidi"/>
      <w:sz w:val="24"/>
      <w:lang w:val="en-US" w:eastAsia="zh-CN" w:bidi="ar-SA"/>
    </w:rPr>
  </w:style>
  <w:style w:type="paragraph" w:styleId="7">
    <w:name w:val="Normal Indent"/>
    <w:basedOn w:val="1"/>
    <w:next w:val="8"/>
    <w:autoRedefine/>
    <w:qFormat/>
    <w:uiPriority w:val="0"/>
    <w:pPr>
      <w:ind w:firstLine="420"/>
    </w:pPr>
  </w:style>
  <w:style w:type="paragraph" w:customStyle="1" w:styleId="8">
    <w:name w:val="正文首行缩进2个字 Char"/>
    <w:basedOn w:val="1"/>
    <w:autoRedefine/>
    <w:qFormat/>
    <w:uiPriority w:val="0"/>
    <w:pPr>
      <w:ind w:firstLine="480" w:firstLineChars="200"/>
    </w:pPr>
    <w:rPr>
      <w:rFonts w:eastAsia="楷体"/>
      <w:sz w:val="24"/>
    </w:rPr>
  </w:style>
  <w:style w:type="paragraph" w:styleId="9">
    <w:name w:val="annotation text"/>
    <w:basedOn w:val="1"/>
    <w:autoRedefine/>
    <w:qFormat/>
    <w:uiPriority w:val="0"/>
    <w:pPr>
      <w:jc w:val="left"/>
    </w:pPr>
  </w:style>
  <w:style w:type="paragraph" w:styleId="10">
    <w:name w:val="Body Text"/>
    <w:basedOn w:val="1"/>
    <w:autoRedefine/>
    <w:qFormat/>
    <w:uiPriority w:val="1"/>
    <w:pPr>
      <w:spacing w:line="360" w:lineRule="auto"/>
      <w:ind w:firstLine="400" w:firstLineChars="200"/>
      <w:jc w:val="both"/>
    </w:pPr>
    <w:rPr>
      <w:rFonts w:ascii="Times New Roman" w:hAnsi="Times New Roman" w:eastAsia="宋体"/>
      <w:sz w:val="24"/>
      <w:szCs w:val="24"/>
    </w:rPr>
  </w:style>
  <w:style w:type="paragraph" w:styleId="11">
    <w:name w:val="Balloon Text"/>
    <w:basedOn w:val="1"/>
    <w:link w:val="28"/>
    <w:autoRedefine/>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autoRedefine/>
    <w:qFormat/>
    <w:uiPriority w:val="0"/>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
    <w:name w:val="Default"/>
    <w:autoRedefine/>
    <w:qFormat/>
    <w:uiPriority w:val="0"/>
    <w:pPr>
      <w:widowControl w:val="0"/>
      <w:autoSpaceDE w:val="0"/>
      <w:autoSpaceDN w:val="0"/>
    </w:pPr>
    <w:rPr>
      <w:rFonts w:hint="eastAsia" w:ascii="黑体" w:hAnsi="黑体" w:eastAsia="黑体" w:cs="Times New Roman"/>
      <w:color w:val="000000"/>
      <w:sz w:val="24"/>
      <w:lang w:val="en-US" w:eastAsia="zh-CN" w:bidi="ar-SA"/>
    </w:rPr>
  </w:style>
  <w:style w:type="paragraph" w:customStyle="1" w:styleId="19">
    <w:name w:val="表内段落"/>
    <w:basedOn w:val="1"/>
    <w:link w:val="22"/>
    <w:autoRedefine/>
    <w:qFormat/>
    <w:uiPriority w:val="0"/>
    <w:pPr>
      <w:spacing w:line="360" w:lineRule="auto"/>
      <w:ind w:firstLine="420" w:firstLineChars="200"/>
    </w:pPr>
    <w:rPr>
      <w:rFonts w:eastAsia="宋体"/>
      <w:sz w:val="24"/>
    </w:rPr>
  </w:style>
  <w:style w:type="paragraph" w:customStyle="1" w:styleId="20">
    <w:name w:val="表内标题"/>
    <w:basedOn w:val="1"/>
    <w:link w:val="21"/>
    <w:autoRedefine/>
    <w:qFormat/>
    <w:uiPriority w:val="0"/>
    <w:pPr>
      <w:spacing w:before="50" w:beforeLines="50" w:after="50" w:afterLines="50"/>
      <w:ind w:firstLine="420" w:firstLineChars="200"/>
    </w:pPr>
    <w:rPr>
      <w:rFonts w:asciiTheme="minorAscii" w:hAnsiTheme="minorAscii"/>
      <w:b/>
      <w:sz w:val="24"/>
    </w:rPr>
  </w:style>
  <w:style w:type="character" w:customStyle="1" w:styleId="21">
    <w:name w:val="表内标题 Char"/>
    <w:link w:val="20"/>
    <w:autoRedefine/>
    <w:qFormat/>
    <w:uiPriority w:val="0"/>
    <w:rPr>
      <w:rFonts w:asciiTheme="minorAscii" w:hAnsiTheme="minorAscii" w:eastAsiaTheme="minorEastAsia"/>
      <w:b/>
      <w:sz w:val="24"/>
    </w:rPr>
  </w:style>
  <w:style w:type="character" w:customStyle="1" w:styleId="22">
    <w:name w:val="表内段落 Char"/>
    <w:link w:val="19"/>
    <w:autoRedefine/>
    <w:qFormat/>
    <w:uiPriority w:val="0"/>
    <w:rPr>
      <w:rFonts w:eastAsia="宋体"/>
      <w:sz w:val="24"/>
    </w:rPr>
  </w:style>
  <w:style w:type="paragraph" w:customStyle="1" w:styleId="23">
    <w:name w:val="样式1"/>
    <w:basedOn w:val="1"/>
    <w:autoRedefine/>
    <w:qFormat/>
    <w:uiPriority w:val="0"/>
    <w:pPr>
      <w:spacing w:line="360" w:lineRule="auto"/>
    </w:pPr>
    <w:rPr>
      <w:sz w:val="24"/>
    </w:rPr>
  </w:style>
  <w:style w:type="paragraph" w:styleId="24">
    <w:name w:val="No Spacing"/>
    <w:autoRedefine/>
    <w:qFormat/>
    <w:uiPriority w:val="99"/>
    <w:pPr>
      <w:adjustRightInd w:val="0"/>
      <w:snapToGrid w:val="0"/>
    </w:pPr>
    <w:rPr>
      <w:rFonts w:ascii="Tahoma" w:hAnsi="Tahoma" w:eastAsia="宋体" w:cs="Tahoma"/>
      <w:sz w:val="22"/>
      <w:szCs w:val="22"/>
      <w:lang w:val="en-US" w:eastAsia="zh-CN" w:bidi="ar-SA"/>
    </w:rPr>
  </w:style>
  <w:style w:type="paragraph" w:customStyle="1" w:styleId="25">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rFonts w:cs="宋体"/>
      <w:kern w:val="0"/>
      <w:szCs w:val="21"/>
    </w:rPr>
  </w:style>
  <w:style w:type="paragraph" w:customStyle="1" w:styleId="26">
    <w:name w:val="无间隔3"/>
    <w:autoRedefine/>
    <w:qFormat/>
    <w:uiPriority w:val="1"/>
    <w:pPr>
      <w:adjustRightInd w:val="0"/>
      <w:snapToGrid w:val="0"/>
    </w:pPr>
    <w:rPr>
      <w:rFonts w:ascii="Tahoma" w:hAnsi="Tahoma" w:eastAsia="微软雅黑" w:cs="Times New Roman"/>
      <w:sz w:val="22"/>
      <w:szCs w:val="22"/>
      <w:lang w:val="en-US" w:eastAsia="zh-CN" w:bidi="ar-SA"/>
    </w:rPr>
  </w:style>
  <w:style w:type="paragraph" w:customStyle="1" w:styleId="27">
    <w:name w:val="环科院名称"/>
    <w:basedOn w:val="1"/>
    <w:autoRedefine/>
    <w:qFormat/>
    <w:uiPriority w:val="0"/>
    <w:pPr>
      <w:ind w:left="-7" w:leftChars="-10" w:hanging="14" w:hangingChars="4"/>
      <w:jc w:val="center"/>
    </w:pPr>
    <w:rPr>
      <w:rFonts w:ascii="楷体_GB2312" w:hAnsi="华文楷体" w:eastAsia="楷体_GB2312" w:cs="宋体"/>
      <w:b/>
      <w:bCs/>
      <w:spacing w:val="20"/>
      <w:sz w:val="32"/>
      <w:szCs w:val="20"/>
    </w:rPr>
  </w:style>
  <w:style w:type="character" w:customStyle="1" w:styleId="28">
    <w:name w:val="批注框文本 Char"/>
    <w:basedOn w:val="17"/>
    <w:link w:val="11"/>
    <w:autoRedefine/>
    <w:qFormat/>
    <w:uiPriority w:val="0"/>
    <w:rPr>
      <w:rFonts w:asciiTheme="minorHAnsi" w:hAnsiTheme="minorHAnsi" w:eastAsiaTheme="minorEastAsia" w:cstheme="minorBidi"/>
      <w:kern w:val="2"/>
      <w:sz w:val="18"/>
      <w:szCs w:val="18"/>
    </w:rPr>
  </w:style>
  <w:style w:type="character" w:customStyle="1" w:styleId="29">
    <w:name w:val="fontstyle01"/>
    <w:basedOn w:val="17"/>
    <w:autoRedefine/>
    <w:qFormat/>
    <w:uiPriority w:val="0"/>
    <w:rPr>
      <w:rFonts w:ascii="TimesNewRomanPSMT" w:hAnsi="TimesNewRomanPSMT" w:eastAsia="TimesNewRomanPSMT" w:cs="TimesNewRomanPSMT"/>
      <w:color w:val="000000"/>
      <w:sz w:val="20"/>
      <w:szCs w:val="20"/>
    </w:rPr>
  </w:style>
  <w:style w:type="character" w:customStyle="1" w:styleId="30">
    <w:name w:val="fontstyle21"/>
    <w:basedOn w:val="17"/>
    <w:autoRedefine/>
    <w:qFormat/>
    <w:uiPriority w:val="0"/>
    <w:rPr>
      <w:rFonts w:ascii="F2" w:hAnsi="F2" w:eastAsia="F2" w:cs="F2"/>
      <w:color w:val="000000"/>
      <w:sz w:val="20"/>
      <w:szCs w:val="20"/>
    </w:rPr>
  </w:style>
  <w:style w:type="paragraph" w:customStyle="1" w:styleId="31">
    <w:name w:val="Char"/>
    <w:basedOn w:val="1"/>
    <w:autoRedefine/>
    <w:qFormat/>
    <w:uiPriority w:val="0"/>
    <w:rPr>
      <w:szCs w:val="21"/>
    </w:rPr>
  </w:style>
  <w:style w:type="paragraph" w:customStyle="1" w:styleId="32">
    <w:name w:val="表格标题"/>
    <w:basedOn w:val="5"/>
    <w:next w:val="5"/>
    <w:autoRedefine/>
    <w:qFormat/>
    <w:uiPriority w:val="0"/>
    <w:pPr>
      <w:tabs>
        <w:tab w:val="left" w:pos="0"/>
      </w:tabs>
      <w:spacing w:before="50" w:beforeLines="50" w:after="50" w:afterLines="50" w:line="240" w:lineRule="auto"/>
      <w:ind w:firstLine="0" w:firstLineChars="0"/>
      <w:jc w:val="center"/>
    </w:pPr>
    <w:rPr>
      <w:rFonts w:hint="eastAsia" w:ascii="Times New Roman" w:hAnsi="Times New Roman" w:eastAsia="宋体"/>
      <w:b/>
    </w:rPr>
  </w:style>
  <w:style w:type="paragraph" w:customStyle="1" w:styleId="33">
    <w:name w:val="表内文字（居中）"/>
    <w:basedOn w:val="5"/>
    <w:autoRedefine/>
    <w:qFormat/>
    <w:uiPriority w:val="0"/>
    <w:pPr>
      <w:spacing w:line="240" w:lineRule="auto"/>
      <w:ind w:firstLine="0" w:firstLineChars="0"/>
      <w:jc w:val="center"/>
    </w:pPr>
    <w:rPr>
      <w:rFonts w:hint="eastAsia"/>
      <w:bCs/>
      <w:sz w:val="21"/>
      <w:szCs w:val="21"/>
    </w:rPr>
  </w:style>
  <w:style w:type="paragraph" w:customStyle="1" w:styleId="34">
    <w:name w:val="表头"/>
    <w:basedOn w:val="1"/>
    <w:autoRedefine/>
    <w:qFormat/>
    <w:uiPriority w:val="0"/>
    <w:pPr>
      <w:jc w:val="center"/>
    </w:pPr>
    <w:rPr>
      <w:rFonts w:ascii="Times New Roman" w:hAnsi="Times New Roman" w:eastAsia="宋体" w:cs="Times New Roman"/>
      <w:b/>
      <w:bCs/>
      <w:sz w:val="24"/>
      <w:szCs w:val="24"/>
    </w:rPr>
  </w:style>
  <w:style w:type="paragraph" w:customStyle="1" w:styleId="35">
    <w:name w:val="Table Paragraph"/>
    <w:basedOn w:val="1"/>
    <w:autoRedefine/>
    <w:qFormat/>
    <w:uiPriority w:val="1"/>
  </w:style>
  <w:style w:type="table" w:customStyle="1" w:styleId="3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1.bin"/><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4097"/>
    <customShpInfo spid="_x0000_s2062"/>
    <customShpInfo spid="_x0000_s2061"/>
    <customShpInfo spid="_x0000_s2060"/>
    <customShpInfo spid="_x0000_s2050"/>
    <customShpInfo spid="_x0000_s2059"/>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wimxt.com</Company>
  <Pages>64</Pages>
  <Words>21228</Words>
  <Characters>24402</Characters>
  <Lines>144</Lines>
  <Paragraphs>40</Paragraphs>
  <TotalTime>0</TotalTime>
  <ScaleCrop>false</ScaleCrop>
  <LinksUpToDate>false</LinksUpToDate>
  <CharactersWithSpaces>24776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仲</cp:lastModifiedBy>
  <cp:lastPrinted>2020-04-01T09:29:00Z</cp:lastPrinted>
  <dcterms:modified xsi:type="dcterms:W3CDTF">2024-05-20T08:00:38Z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6C800A9CE86C480EAE550679E9FF3DC8</vt:lpwstr>
  </property>
</Properties>
</file>