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5" w:line="240" w:lineRule="auto"/>
        <w:ind w:right="339"/>
        <w:jc w:val="center"/>
        <w:rPr>
          <w:rFonts w:hint="default" w:ascii="Times New Roman" w:hAnsi="Times New Roman" w:eastAsia="宋体" w:cs="Times New Roman"/>
          <w:color w:val="auto"/>
          <w:sz w:val="36"/>
          <w:szCs w:val="36"/>
        </w:rPr>
      </w:pPr>
      <w:r>
        <w:rPr>
          <w:rFonts w:hint="default" w:ascii="Times New Roman" w:hAnsi="Times New Roman" w:eastAsia="宋体" w:cs="Times New Roman"/>
          <w:color w:val="auto"/>
          <w:sz w:val="36"/>
          <w:szCs w:val="36"/>
        </w:rPr>
        <w:t>盛宁线茅洋至泗洲头段改建工程</w:t>
      </w:r>
    </w:p>
    <w:p>
      <w:pPr>
        <w:pStyle w:val="7"/>
        <w:spacing w:before="5" w:line="240" w:lineRule="auto"/>
        <w:ind w:right="339"/>
        <w:jc w:val="center"/>
        <w:rPr>
          <w:rFonts w:hint="default" w:ascii="Times New Roman" w:hAnsi="Times New Roman" w:eastAsia="宋体" w:cs="Times New Roman"/>
          <w:color w:val="auto"/>
          <w:sz w:val="36"/>
          <w:szCs w:val="36"/>
        </w:rPr>
      </w:pPr>
      <w:r>
        <w:rPr>
          <w:rFonts w:hint="default" w:ascii="Times New Roman" w:hAnsi="Times New Roman" w:eastAsia="宋体" w:cs="Times New Roman"/>
          <w:color w:val="auto"/>
          <w:sz w:val="36"/>
          <w:szCs w:val="36"/>
        </w:rPr>
        <w:t>项目竣工环境保护验收</w:t>
      </w:r>
      <w:r>
        <w:rPr>
          <w:rFonts w:hint="default" w:ascii="Times New Roman" w:hAnsi="Times New Roman" w:eastAsia="宋体" w:cs="Times New Roman"/>
          <w:color w:val="auto"/>
          <w:spacing w:val="-13"/>
          <w:sz w:val="36"/>
          <w:szCs w:val="36"/>
        </w:rPr>
        <w:t>意见</w:t>
      </w:r>
    </w:p>
    <w:p>
      <w:pPr>
        <w:spacing w:before="0" w:line="240" w:lineRule="auto"/>
        <w:ind w:right="0"/>
        <w:rPr>
          <w:rFonts w:hint="default" w:ascii="Times New Roman" w:hAnsi="Times New Roman" w:eastAsia="宋体" w:cs="Times New Roman"/>
          <w:color w:val="auto"/>
          <w:sz w:val="26"/>
          <w:szCs w:val="26"/>
        </w:rPr>
      </w:pPr>
    </w:p>
    <w:p>
      <w:pPr>
        <w:pStyle w:val="3"/>
        <w:bidi w:val="0"/>
        <w:rPr>
          <w:rFonts w:hint="default"/>
        </w:rPr>
      </w:pPr>
      <w:r>
        <w:rPr>
          <w:rFonts w:hint="default"/>
        </w:rPr>
        <w:t>2023年</w:t>
      </w:r>
      <w:r>
        <w:rPr>
          <w:rFonts w:hint="default"/>
          <w:lang w:val="en-US" w:eastAsia="zh-CN"/>
        </w:rPr>
        <w:t>9</w:t>
      </w:r>
      <w:r>
        <w:rPr>
          <w:rFonts w:hint="default"/>
        </w:rPr>
        <w:t>月</w:t>
      </w:r>
      <w:r>
        <w:rPr>
          <w:rFonts w:hint="default"/>
          <w:lang w:val="en-US" w:eastAsia="zh-CN"/>
        </w:rPr>
        <w:t>1</w:t>
      </w:r>
      <w:r>
        <w:rPr>
          <w:rFonts w:hint="default"/>
        </w:rPr>
        <w:t>日，根据《建设项目环境保护管理条例</w:t>
      </w:r>
      <w:r>
        <w:rPr>
          <w:rFonts w:hint="default"/>
          <w:lang w:eastAsia="zh-CN"/>
        </w:rPr>
        <w:t>》</w:t>
      </w:r>
      <w:r>
        <w:rPr>
          <w:rFonts w:hint="default"/>
        </w:rPr>
        <w:t>、《建设项目竣工环境保护验收暂行办法》等有关规定，宁波象山交通开发建设集团有限公司组织开展盛宁线茅洋至泗洲头段改建工程竣工环境保护设施验收现场</w:t>
      </w:r>
      <w:r>
        <w:rPr>
          <w:rFonts w:hint="eastAsia"/>
          <w:lang w:val="en-US" w:eastAsia="zh-CN"/>
        </w:rPr>
        <w:t>调查</w:t>
      </w:r>
      <w:r>
        <w:rPr>
          <w:rFonts w:hint="default"/>
        </w:rPr>
        <w:t>，并召开竣工环境保护验收会议。验收工作组由</w:t>
      </w:r>
      <w:r>
        <w:rPr>
          <w:rFonts w:hint="eastAsia"/>
        </w:rPr>
        <w:t>市生态环境局象山分局、浙江诚德检测研究有限公司、宁波路桥工程建设有限公司、宁波市交建工程监理咨询有限公司、象山县交通工程咨询监理有限公司</w:t>
      </w:r>
      <w:r>
        <w:rPr>
          <w:rFonts w:hint="default"/>
          <w:lang w:val="en-US" w:eastAsia="zh-CN"/>
        </w:rPr>
        <w:t>以及</w:t>
      </w:r>
      <w:r>
        <w:rPr>
          <w:rFonts w:hint="default"/>
        </w:rPr>
        <w:t>3名特邀专家</w:t>
      </w:r>
      <w:r>
        <w:rPr>
          <w:rFonts w:hint="eastAsia"/>
          <w:lang w:val="en-US" w:eastAsia="zh-CN"/>
        </w:rPr>
        <w:t>等</w:t>
      </w:r>
      <w:r>
        <w:rPr>
          <w:rFonts w:hint="default"/>
        </w:rPr>
        <w:t>组成（名单附后）。</w:t>
      </w:r>
    </w:p>
    <w:p>
      <w:pPr>
        <w:pStyle w:val="3"/>
        <w:bidi w:val="0"/>
        <w:rPr>
          <w:rFonts w:hint="default"/>
        </w:rPr>
      </w:pPr>
      <w:r>
        <w:rPr>
          <w:rFonts w:hint="default"/>
        </w:rPr>
        <w:t>验收工作组现场检查了</w:t>
      </w:r>
      <w:r>
        <w:rPr>
          <w:rFonts w:hint="eastAsia"/>
          <w:lang w:eastAsia="zh-CN"/>
        </w:rPr>
        <w:t>盛宁线茅洋至泗洲头段改建工程</w:t>
      </w:r>
      <w:r>
        <w:rPr>
          <w:rFonts w:hint="default"/>
        </w:rPr>
        <w:t>环境保护措施落实情况，</w:t>
      </w:r>
      <w:r>
        <w:rPr>
          <w:rFonts w:hint="eastAsia"/>
          <w:lang w:val="en-US" w:eastAsia="zh-CN"/>
        </w:rPr>
        <w:t>听</w:t>
      </w:r>
      <w:r>
        <w:rPr>
          <w:rFonts w:hint="default"/>
        </w:rPr>
        <w:t>取了建设单位、验收调查单位对项目建设情况的汇报，经质询、讨论，形成验收意见如下：</w:t>
      </w:r>
    </w:p>
    <w:p>
      <w:pPr>
        <w:pStyle w:val="4"/>
        <w:bidi w:val="0"/>
        <w:rPr>
          <w:rFonts w:hint="default"/>
        </w:rPr>
      </w:pPr>
      <w:r>
        <w:rPr>
          <w:rFonts w:hint="default"/>
        </w:rPr>
        <w:t>一、工程建设基本情况</w:t>
      </w:r>
    </w:p>
    <w:p>
      <w:pPr>
        <w:pStyle w:val="6"/>
        <w:bidi w:val="0"/>
        <w:rPr>
          <w:rFonts w:hint="default"/>
        </w:rPr>
      </w:pPr>
      <w:r>
        <w:rPr>
          <w:rFonts w:hint="default"/>
        </w:rPr>
        <w:t>建设地点、规模、主要建设内容</w:t>
      </w:r>
    </w:p>
    <w:p>
      <w:pPr>
        <w:pStyle w:val="3"/>
        <w:bidi w:val="0"/>
        <w:rPr>
          <w:rFonts w:hint="eastAsia" w:eastAsia="宋体"/>
          <w:lang w:val="en-US" w:eastAsia="zh-CN"/>
        </w:rPr>
      </w:pPr>
      <w:r>
        <w:rPr>
          <w:rFonts w:hint="default"/>
        </w:rPr>
        <w:t>盛宁线茅洋至泗洲头段改建工程位于宁波市象山县境内，道路呈东西走向，起点位于茅洋乡花墙村东侧，终点位于泗洲头镇南岙村北，与规划203省道相交，道路全长3.5</w:t>
      </w:r>
      <w:r>
        <w:rPr>
          <w:rFonts w:hint="eastAsia"/>
          <w:lang w:val="en-US" w:eastAsia="zh-CN"/>
        </w:rPr>
        <w:t>2</w:t>
      </w:r>
      <w:bookmarkStart w:id="1" w:name="_GoBack"/>
      <w:bookmarkEnd w:id="1"/>
      <w:r>
        <w:rPr>
          <w:rFonts w:hint="default"/>
        </w:rPr>
        <w:t>km</w:t>
      </w:r>
      <w:r>
        <w:rPr>
          <w:rFonts w:hint="eastAsia"/>
          <w:lang w:eastAsia="zh-CN"/>
        </w:rPr>
        <w:t>，</w:t>
      </w:r>
      <w:r>
        <w:rPr>
          <w:rFonts w:hint="eastAsia"/>
          <w:lang w:val="en-US" w:eastAsia="zh-CN"/>
        </w:rPr>
        <w:t>双向四车道，路基宽度为25.5m</w:t>
      </w:r>
      <w:r>
        <w:rPr>
          <w:rFonts w:hint="eastAsia"/>
        </w:rPr>
        <w:t>，路面采用沥青砼路面</w:t>
      </w:r>
      <w:r>
        <w:rPr>
          <w:rFonts w:hint="eastAsia"/>
          <w:lang w:eastAsia="zh-CN"/>
        </w:rPr>
        <w:t>。</w:t>
      </w:r>
      <w:r>
        <w:rPr>
          <w:rFonts w:hint="eastAsia"/>
          <w:lang w:val="en-US" w:eastAsia="zh-CN"/>
        </w:rPr>
        <w:t>工程全线包含</w:t>
      </w:r>
      <w:r>
        <w:rPr>
          <w:rFonts w:hint="eastAsia"/>
        </w:rPr>
        <w:t>主线桥梁总计3座，其中大桥180.08m/1座，小桥43.08m/2座</w:t>
      </w:r>
      <w:r>
        <w:rPr>
          <w:rFonts w:hint="eastAsia"/>
          <w:lang w:eastAsia="zh-CN"/>
        </w:rPr>
        <w:t>。</w:t>
      </w:r>
    </w:p>
    <w:p>
      <w:pPr>
        <w:pStyle w:val="6"/>
        <w:bidi w:val="0"/>
        <w:rPr>
          <w:rFonts w:hint="default"/>
        </w:rPr>
      </w:pPr>
      <w:r>
        <w:rPr>
          <w:rFonts w:hint="default"/>
        </w:rPr>
        <w:t>建设过程及环保审批情况</w:t>
      </w:r>
    </w:p>
    <w:p>
      <w:pPr>
        <w:pStyle w:val="3"/>
        <w:ind w:firstLine="480"/>
        <w:rPr>
          <w:rFonts w:hint="eastAsia"/>
        </w:rPr>
      </w:pPr>
      <w:r>
        <w:rPr>
          <w:rFonts w:hint="eastAsia"/>
        </w:rPr>
        <w:t>2018年1月宁波交运建设集团有限公司委托上海环境节能工程股份有限公司编制完成了《盛宁线茅洋至泗洲头段改建工程环境影响报告表》；</w:t>
      </w:r>
    </w:p>
    <w:p>
      <w:pPr>
        <w:pStyle w:val="3"/>
        <w:ind w:firstLine="480"/>
        <w:rPr>
          <w:rFonts w:hint="eastAsia"/>
        </w:rPr>
      </w:pPr>
      <w:r>
        <w:rPr>
          <w:rFonts w:hint="eastAsia"/>
        </w:rPr>
        <w:t>2018年2月9日，宁波交运建设集团有限公司取得了关于《盛宁线茅洋至泗洲头段改建工程项目环境影响报告表的批复》（浙象环许〔2018</w:t>
      </w:r>
      <w:r>
        <w:rPr>
          <w:rFonts w:hint="eastAsia"/>
          <w:lang w:eastAsia="zh-CN"/>
        </w:rPr>
        <w:t>）</w:t>
      </w:r>
      <w:r>
        <w:rPr>
          <w:rFonts w:hint="eastAsia"/>
        </w:rPr>
        <w:t>11号）；</w:t>
      </w:r>
    </w:p>
    <w:p>
      <w:pPr>
        <w:pStyle w:val="3"/>
        <w:ind w:firstLine="480"/>
        <w:rPr>
          <w:rFonts w:hint="eastAsia"/>
        </w:rPr>
      </w:pPr>
      <w:r>
        <w:rPr>
          <w:rFonts w:hint="eastAsia"/>
        </w:rPr>
        <w:t>2018年12月20日</w:t>
      </w:r>
      <w:r>
        <w:rPr>
          <w:rFonts w:hint="eastAsia"/>
          <w:lang w:eastAsia="zh-CN"/>
        </w:rPr>
        <w:t>，宁波交运建设集团有限公司</w:t>
      </w:r>
      <w:r>
        <w:rPr>
          <w:rFonts w:hint="eastAsia"/>
        </w:rPr>
        <w:t>取得了《市发展改革委关于盛宁线茅洋至泗洲头段改建工程初步设计的批复》（甬发改审批〔2018]585号）。</w:t>
      </w:r>
    </w:p>
    <w:p>
      <w:pPr>
        <w:pStyle w:val="3"/>
        <w:ind w:firstLine="480"/>
        <w:rPr>
          <w:rFonts w:hint="eastAsia"/>
        </w:rPr>
      </w:pPr>
      <w:r>
        <w:rPr>
          <w:rFonts w:hint="eastAsia"/>
        </w:rPr>
        <w:t>项目于20</w:t>
      </w:r>
      <w:r>
        <w:rPr>
          <w:rFonts w:hint="eastAsia"/>
          <w:lang w:val="en-US" w:eastAsia="zh-CN"/>
        </w:rPr>
        <w:t>20</w:t>
      </w:r>
      <w:r>
        <w:rPr>
          <w:rFonts w:hint="eastAsia"/>
        </w:rPr>
        <w:t>年</w:t>
      </w:r>
      <w:r>
        <w:rPr>
          <w:rFonts w:hint="eastAsia"/>
          <w:lang w:val="en-US" w:eastAsia="zh-CN"/>
        </w:rPr>
        <w:t>10</w:t>
      </w:r>
      <w:r>
        <w:rPr>
          <w:rFonts w:hint="eastAsia"/>
        </w:rPr>
        <w:t>月开工建设，20</w:t>
      </w:r>
      <w:r>
        <w:rPr>
          <w:rFonts w:hint="eastAsia"/>
          <w:lang w:val="en-US" w:eastAsia="zh-CN"/>
        </w:rPr>
        <w:t>22</w:t>
      </w:r>
      <w:r>
        <w:rPr>
          <w:rFonts w:hint="eastAsia"/>
        </w:rPr>
        <w:t>年</w:t>
      </w:r>
      <w:r>
        <w:rPr>
          <w:rFonts w:hint="eastAsia"/>
          <w:lang w:val="en-US" w:eastAsia="zh-CN"/>
        </w:rPr>
        <w:t>12</w:t>
      </w:r>
      <w:r>
        <w:rPr>
          <w:rFonts w:hint="eastAsia"/>
        </w:rPr>
        <w:t>月底全线建成通车，建设总工期为</w:t>
      </w:r>
      <w:r>
        <w:rPr>
          <w:rFonts w:hint="eastAsia"/>
          <w:lang w:val="en-US" w:eastAsia="zh-CN"/>
        </w:rPr>
        <w:t>26</w:t>
      </w:r>
      <w:r>
        <w:rPr>
          <w:rFonts w:hint="eastAsia"/>
        </w:rPr>
        <w:t>个月。</w:t>
      </w:r>
    </w:p>
    <w:p>
      <w:pPr>
        <w:pStyle w:val="6"/>
        <w:bidi w:val="0"/>
        <w:rPr>
          <w:rFonts w:hint="default"/>
        </w:rPr>
      </w:pPr>
      <w:r>
        <w:rPr>
          <w:rFonts w:hint="default"/>
        </w:rPr>
        <w:t>投资情况</w:t>
      </w:r>
    </w:p>
    <w:p>
      <w:pPr>
        <w:pStyle w:val="3"/>
        <w:bidi w:val="0"/>
        <w:rPr>
          <w:rFonts w:hint="default"/>
        </w:rPr>
      </w:pPr>
      <w:r>
        <w:rPr>
          <w:rFonts w:hint="default"/>
        </w:rPr>
        <w:t>工程实际完成投资</w:t>
      </w:r>
      <w:r>
        <w:rPr>
          <w:rFonts w:hint="eastAsia"/>
          <w:highlight w:val="none"/>
          <w:lang w:val="en-US" w:eastAsia="zh-CN"/>
        </w:rPr>
        <w:t>30600</w:t>
      </w:r>
      <w:r>
        <w:rPr>
          <w:rFonts w:hint="default"/>
        </w:rPr>
        <w:t>万元，其中环保投资</w:t>
      </w:r>
      <w:r>
        <w:rPr>
          <w:rFonts w:hint="eastAsia"/>
          <w:highlight w:val="none"/>
          <w:lang w:val="en-US" w:eastAsia="zh-CN"/>
        </w:rPr>
        <w:t>350</w:t>
      </w:r>
      <w:r>
        <w:rPr>
          <w:rFonts w:hint="default"/>
        </w:rPr>
        <w:t>万元，占工程总投资的</w:t>
      </w:r>
      <w:r>
        <w:rPr>
          <w:rFonts w:hint="eastAsia"/>
          <w:lang w:val="en-US" w:eastAsia="zh-CN"/>
        </w:rPr>
        <w:t>1.27</w:t>
      </w:r>
      <w:r>
        <w:rPr>
          <w:rFonts w:hint="default"/>
        </w:rPr>
        <w:t>%。</w:t>
      </w:r>
    </w:p>
    <w:p>
      <w:pPr>
        <w:pStyle w:val="6"/>
        <w:bidi w:val="0"/>
        <w:rPr>
          <w:rFonts w:hint="default"/>
        </w:rPr>
      </w:pPr>
      <w:r>
        <w:rPr>
          <w:rFonts w:hint="default"/>
        </w:rPr>
        <w:t>验收范围</w:t>
      </w:r>
    </w:p>
    <w:p>
      <w:pPr>
        <w:pStyle w:val="3"/>
        <w:bidi w:val="0"/>
        <w:rPr>
          <w:rFonts w:hint="default"/>
        </w:rPr>
      </w:pPr>
      <w:r>
        <w:rPr>
          <w:rFonts w:hint="default"/>
        </w:rPr>
        <w:t>本次验收范围</w:t>
      </w:r>
      <w:r>
        <w:rPr>
          <w:rFonts w:hint="eastAsia"/>
          <w:lang w:val="en-US" w:eastAsia="zh-CN"/>
        </w:rPr>
        <w:t>与环评阶段一致，即</w:t>
      </w:r>
      <w:r>
        <w:rPr>
          <w:rFonts w:hint="eastAsia"/>
          <w:lang w:eastAsia="zh-CN"/>
        </w:rPr>
        <w:t>盛宁线茅洋至泗洲头段改建工程</w:t>
      </w:r>
      <w:r>
        <w:rPr>
          <w:rFonts w:hint="eastAsia"/>
          <w:lang w:val="en-US" w:eastAsia="zh-CN"/>
        </w:rPr>
        <w:t>及相应环保措施</w:t>
      </w:r>
      <w:r>
        <w:rPr>
          <w:rFonts w:hint="default"/>
        </w:rPr>
        <w:t>。</w:t>
      </w:r>
    </w:p>
    <w:p>
      <w:pPr>
        <w:pStyle w:val="4"/>
        <w:bidi w:val="0"/>
        <w:rPr>
          <w:rFonts w:hint="default"/>
        </w:rPr>
      </w:pPr>
      <w:r>
        <w:rPr>
          <w:rFonts w:hint="eastAsia"/>
          <w:lang w:val="en-US" w:eastAsia="zh-CN"/>
        </w:rPr>
        <w:t>二、</w:t>
      </w:r>
      <w:r>
        <w:rPr>
          <w:rFonts w:hint="default"/>
        </w:rPr>
        <w:t>工程变动情况</w:t>
      </w:r>
    </w:p>
    <w:p>
      <w:pPr>
        <w:pStyle w:val="3"/>
        <w:bidi w:val="0"/>
        <w:rPr>
          <w:rFonts w:hint="default"/>
        </w:rPr>
      </w:pPr>
      <w:r>
        <w:rPr>
          <w:rFonts w:hint="default"/>
        </w:rPr>
        <w:t>本工程实际的建设内容、主要经济技术指标、总平面布置与环评</w:t>
      </w:r>
      <w:r>
        <w:rPr>
          <w:rFonts w:hint="eastAsia"/>
          <w:lang w:val="en-US" w:eastAsia="zh-CN"/>
        </w:rPr>
        <w:t>及</w:t>
      </w:r>
      <w:r>
        <w:rPr>
          <w:rFonts w:hint="default"/>
        </w:rPr>
        <w:t>环评批复内容基本一致。</w:t>
      </w:r>
    </w:p>
    <w:p>
      <w:pPr>
        <w:pStyle w:val="4"/>
        <w:bidi w:val="0"/>
        <w:rPr>
          <w:rFonts w:hint="default"/>
        </w:rPr>
      </w:pPr>
      <w:r>
        <w:rPr>
          <w:rFonts w:hint="default"/>
        </w:rPr>
        <w:t>三、环境保护措施落实情况</w:t>
      </w:r>
    </w:p>
    <w:p>
      <w:pPr>
        <w:pStyle w:val="6"/>
        <w:numPr>
          <w:ilvl w:val="0"/>
          <w:numId w:val="7"/>
        </w:numPr>
        <w:bidi w:val="0"/>
        <w:rPr>
          <w:rFonts w:hint="default"/>
        </w:rPr>
      </w:pPr>
      <w:r>
        <w:rPr>
          <w:rFonts w:hint="default"/>
        </w:rPr>
        <w:t>生态环境</w:t>
      </w:r>
    </w:p>
    <w:p>
      <w:pPr>
        <w:pStyle w:val="3"/>
        <w:bidi w:val="0"/>
        <w:rPr>
          <w:rFonts w:hint="default"/>
        </w:rPr>
      </w:pPr>
      <w:r>
        <w:rPr>
          <w:rFonts w:hint="default"/>
        </w:rPr>
        <w:t>本项目调查范围内无任何级别的生态敏感区。项目采取了强化土石方平衡、优化临时场地布设等措施减少临时工程占地。临时场地使用结束后采取土地整治、水土保持措施，现己复绿、复耕或转为其他用途。</w:t>
      </w:r>
    </w:p>
    <w:p>
      <w:pPr>
        <w:pStyle w:val="3"/>
        <w:bidi w:val="0"/>
        <w:rPr>
          <w:rFonts w:hint="default"/>
        </w:rPr>
      </w:pPr>
      <w:r>
        <w:rPr>
          <w:rFonts w:hint="default"/>
        </w:rPr>
        <w:t>工程实施了护坡、排水和绿化等水土流失防治措施。工程建设了边沟、排水沟等公路排水设施，排水设施总体完善。</w:t>
      </w:r>
    </w:p>
    <w:p>
      <w:pPr>
        <w:pStyle w:val="6"/>
        <w:numPr>
          <w:ilvl w:val="0"/>
          <w:numId w:val="7"/>
        </w:numPr>
        <w:bidi w:val="0"/>
        <w:rPr>
          <w:rFonts w:hint="default"/>
        </w:rPr>
      </w:pPr>
      <w:r>
        <w:rPr>
          <w:rFonts w:hint="default"/>
        </w:rPr>
        <w:t>声环境</w:t>
      </w:r>
    </w:p>
    <w:p>
      <w:pPr>
        <w:pStyle w:val="3"/>
        <w:bidi w:val="0"/>
        <w:rPr>
          <w:rFonts w:hint="default"/>
        </w:rPr>
      </w:pPr>
      <w:r>
        <w:rPr>
          <w:rFonts w:hint="default"/>
        </w:rPr>
        <w:t>施工期：施工单位使用低噪声施工机械，通过合理安排施工时间、分散布置施工机械等措施减缓施工噪声影响。</w:t>
      </w:r>
    </w:p>
    <w:p>
      <w:pPr>
        <w:pStyle w:val="3"/>
        <w:bidi w:val="0"/>
        <w:rPr>
          <w:rFonts w:hint="default"/>
        </w:rPr>
      </w:pPr>
      <w:r>
        <w:rPr>
          <w:rFonts w:hint="default"/>
        </w:rPr>
        <w:t>运营期：对公路穿越或临近集中声环境敏感点路段采取设置警示标志、限速标志牌等措施减缓交通噪声影响。沿线声环境敏感建筑普遍自行安装有铝合金玻璃窗。</w:t>
      </w:r>
    </w:p>
    <w:p>
      <w:pPr>
        <w:pStyle w:val="6"/>
        <w:numPr>
          <w:ilvl w:val="0"/>
          <w:numId w:val="7"/>
        </w:numPr>
        <w:bidi w:val="0"/>
        <w:rPr>
          <w:rFonts w:hint="default"/>
        </w:rPr>
      </w:pPr>
      <w:r>
        <w:rPr>
          <w:rFonts w:hint="default"/>
        </w:rPr>
        <w:t>水环境</w:t>
      </w:r>
    </w:p>
    <w:p>
      <w:pPr>
        <w:pStyle w:val="3"/>
        <w:bidi w:val="0"/>
        <w:rPr>
          <w:rFonts w:hint="default"/>
        </w:rPr>
      </w:pPr>
      <w:r>
        <w:rPr>
          <w:rFonts w:hint="default"/>
        </w:rPr>
        <w:t>施工期：道路开挖过程产生的泥浆水经沉淀处理后</w:t>
      </w:r>
      <w:r>
        <w:rPr>
          <w:rFonts w:hint="eastAsia"/>
          <w:lang w:val="en-US" w:eastAsia="zh-CN"/>
        </w:rPr>
        <w:t>回用</w:t>
      </w:r>
      <w:r>
        <w:rPr>
          <w:rFonts w:hint="default"/>
        </w:rPr>
        <w:t>，土堆</w:t>
      </w:r>
      <w:r>
        <w:rPr>
          <w:rFonts w:hint="eastAsia"/>
          <w:lang w:val="en-US" w:eastAsia="zh-CN"/>
        </w:rPr>
        <w:t>已</w:t>
      </w:r>
      <w:r>
        <w:rPr>
          <w:rFonts w:hint="default"/>
        </w:rPr>
        <w:t>设置挡土围堰防止雨水冲刷，减少对附近水域的影响。施工期未发生水质污染事故。</w:t>
      </w:r>
    </w:p>
    <w:p>
      <w:pPr>
        <w:pStyle w:val="3"/>
        <w:bidi w:val="0"/>
        <w:rPr>
          <w:rFonts w:hint="default"/>
        </w:rPr>
      </w:pPr>
      <w:r>
        <w:rPr>
          <w:rFonts w:hint="default"/>
        </w:rPr>
        <w:t>运营期：</w:t>
      </w:r>
      <w:r>
        <w:rPr>
          <w:rFonts w:hint="eastAsia"/>
        </w:rPr>
        <w:t>设置排水设施，收集路面径流，以分散就近排放为原则，排入域内排水渠</w:t>
      </w:r>
      <w:r>
        <w:rPr>
          <w:rFonts w:hint="eastAsia"/>
          <w:lang w:eastAsia="zh-CN"/>
        </w:rPr>
        <w:t>。</w:t>
      </w:r>
    </w:p>
    <w:p>
      <w:pPr>
        <w:pStyle w:val="6"/>
        <w:numPr>
          <w:ilvl w:val="0"/>
          <w:numId w:val="7"/>
        </w:numPr>
        <w:bidi w:val="0"/>
        <w:rPr>
          <w:rFonts w:hint="default"/>
        </w:rPr>
      </w:pPr>
      <w:r>
        <w:rPr>
          <w:rFonts w:hint="default"/>
        </w:rPr>
        <w:t>环境空气</w:t>
      </w:r>
    </w:p>
    <w:p>
      <w:pPr>
        <w:pStyle w:val="3"/>
        <w:bidi w:val="0"/>
        <w:rPr>
          <w:rFonts w:hint="default" w:eastAsia="宋体"/>
          <w:lang w:val="en-US" w:eastAsia="zh-CN"/>
        </w:rPr>
      </w:pPr>
      <w:r>
        <w:rPr>
          <w:rFonts w:hint="default"/>
        </w:rPr>
        <w:t>施工期：本工程施工期间砂石料、水泥等已规范堆放，临时堆场均已用密目网进行遮盖，弃方日产日清，进出场车辆均已对车轮进行冲洗，运输道路已定期洒</w:t>
      </w:r>
      <w:r>
        <w:rPr>
          <w:rFonts w:hint="eastAsia"/>
          <w:lang w:val="en-US" w:eastAsia="zh-CN"/>
        </w:rPr>
        <w:t>水</w:t>
      </w:r>
      <w:r>
        <w:rPr>
          <w:rFonts w:hint="default"/>
        </w:rPr>
        <w:t>。</w:t>
      </w:r>
      <w:r>
        <w:rPr>
          <w:rFonts w:hint="eastAsia"/>
          <w:lang w:val="en-US" w:eastAsia="zh-CN"/>
        </w:rPr>
        <w:t>施工期未发生扬尘污染。</w:t>
      </w:r>
    </w:p>
    <w:p>
      <w:pPr>
        <w:pStyle w:val="3"/>
        <w:bidi w:val="0"/>
        <w:rPr>
          <w:rFonts w:hint="default"/>
        </w:rPr>
      </w:pPr>
      <w:r>
        <w:rPr>
          <w:rFonts w:hint="default"/>
        </w:rPr>
        <w:t>运营期</w:t>
      </w:r>
      <w:r>
        <w:rPr>
          <w:rFonts w:hint="eastAsia"/>
          <w:lang w:eastAsia="zh-CN"/>
        </w:rPr>
        <w:t>：加强车辆管理工作，明确要求运载散体材料的车辆采取加盖蓬布等封闭运输措施，对于汽车尾气排放不达标的车辆不允许其上路；加强绿化建设，道路两侧的裸露地面及时实施绿化、铺装或硬化；做好道路两侧植被的养护工作，同时加强道路的清扫，遇到路面破损及时修补。</w:t>
      </w:r>
    </w:p>
    <w:p>
      <w:pPr>
        <w:pStyle w:val="6"/>
        <w:numPr>
          <w:ilvl w:val="0"/>
          <w:numId w:val="7"/>
        </w:numPr>
        <w:bidi w:val="0"/>
        <w:rPr>
          <w:rFonts w:hint="default"/>
        </w:rPr>
      </w:pPr>
      <w:r>
        <w:rPr>
          <w:rFonts w:hint="default"/>
        </w:rPr>
        <w:t>固体废物</w:t>
      </w:r>
    </w:p>
    <w:p>
      <w:pPr>
        <w:pStyle w:val="3"/>
        <w:bidi w:val="0"/>
        <w:rPr>
          <w:rFonts w:hint="default"/>
        </w:rPr>
      </w:pPr>
      <w:r>
        <w:rPr>
          <w:rFonts w:hint="default"/>
        </w:rPr>
        <w:t>施工期</w:t>
      </w:r>
      <w:r>
        <w:rPr>
          <w:rFonts w:hint="eastAsia"/>
          <w:lang w:eastAsia="zh-CN"/>
        </w:rPr>
        <w:t>：</w:t>
      </w:r>
      <w:r>
        <w:rPr>
          <w:rFonts w:hint="default"/>
        </w:rPr>
        <w:t>弃方全部拉运至临近施工场地作为回填土，施工现场产生的生活垃圾均已做清运处理。</w:t>
      </w:r>
    </w:p>
    <w:p>
      <w:pPr>
        <w:pStyle w:val="3"/>
        <w:bidi w:val="0"/>
        <w:rPr>
          <w:rFonts w:hint="default"/>
        </w:rPr>
      </w:pPr>
      <w:r>
        <w:rPr>
          <w:rFonts w:hint="default"/>
        </w:rPr>
        <w:t>运营期</w:t>
      </w:r>
      <w:r>
        <w:rPr>
          <w:rFonts w:hint="eastAsia"/>
          <w:lang w:eastAsia="zh-CN"/>
        </w:rPr>
        <w:t>：</w:t>
      </w:r>
      <w:r>
        <w:rPr>
          <w:rFonts w:hint="default"/>
        </w:rPr>
        <w:t>沿路布设一定量垃圾桶，由环卫工人定期清理后交由环卫部门处置。</w:t>
      </w:r>
    </w:p>
    <w:p>
      <w:pPr>
        <w:pStyle w:val="6"/>
        <w:numPr>
          <w:ilvl w:val="0"/>
          <w:numId w:val="7"/>
        </w:numPr>
        <w:bidi w:val="0"/>
        <w:rPr>
          <w:rFonts w:hint="default"/>
        </w:rPr>
      </w:pPr>
      <w:r>
        <w:rPr>
          <w:rFonts w:hint="default"/>
        </w:rPr>
        <w:t>环境风险防范措施</w:t>
      </w:r>
    </w:p>
    <w:p>
      <w:pPr>
        <w:pStyle w:val="3"/>
        <w:bidi w:val="0"/>
        <w:rPr>
          <w:rFonts w:hint="default"/>
        </w:rPr>
      </w:pPr>
      <w:r>
        <w:rPr>
          <w:rFonts w:hint="default"/>
        </w:rPr>
        <w:t>试运营期间，未发生危险品道路运输突发环境事件。</w:t>
      </w:r>
    </w:p>
    <w:p>
      <w:pPr>
        <w:pStyle w:val="4"/>
        <w:bidi w:val="0"/>
        <w:rPr>
          <w:rFonts w:hint="default"/>
        </w:rPr>
      </w:pPr>
      <w:r>
        <w:rPr>
          <w:rFonts w:hint="default"/>
        </w:rPr>
        <w:t>四、环境保护设施运行效果和工程建设对环境的影响</w:t>
      </w:r>
    </w:p>
    <w:p>
      <w:pPr>
        <w:pStyle w:val="3"/>
        <w:bidi w:val="0"/>
        <w:rPr>
          <w:rFonts w:hint="default"/>
        </w:rPr>
      </w:pPr>
      <w:r>
        <w:rPr>
          <w:rFonts w:hint="default"/>
        </w:rPr>
        <w:t>根据《</w:t>
      </w:r>
      <w:r>
        <w:rPr>
          <w:rFonts w:hint="eastAsia"/>
          <w:lang w:eastAsia="zh-CN"/>
        </w:rPr>
        <w:t>盛宁线茅洋至泗洲头段改建工程</w:t>
      </w:r>
      <w:r>
        <w:rPr>
          <w:rFonts w:hint="eastAsia"/>
          <w:lang w:val="en-US" w:eastAsia="zh-CN"/>
        </w:rPr>
        <w:t>项目</w:t>
      </w:r>
      <w:r>
        <w:rPr>
          <w:rFonts w:hint="default"/>
        </w:rPr>
        <w:t>竣工环境保护验收</w:t>
      </w:r>
      <w:r>
        <w:rPr>
          <w:rFonts w:hint="eastAsia"/>
          <w:lang w:val="en-US" w:eastAsia="zh-CN"/>
        </w:rPr>
        <w:t>监测</w:t>
      </w:r>
      <w:r>
        <w:rPr>
          <w:rFonts w:hint="default"/>
        </w:rPr>
        <w:t>调查</w:t>
      </w:r>
      <w:r>
        <w:rPr>
          <w:rFonts w:hint="eastAsia"/>
          <w:lang w:val="en-US" w:eastAsia="zh-CN"/>
        </w:rPr>
        <w:t>表</w:t>
      </w:r>
      <w:r>
        <w:rPr>
          <w:rFonts w:hint="default"/>
        </w:rPr>
        <w:t>》及现场核查表明：</w:t>
      </w:r>
    </w:p>
    <w:p>
      <w:pPr>
        <w:pStyle w:val="3"/>
        <w:bidi w:val="0"/>
        <w:rPr>
          <w:rFonts w:hint="default"/>
        </w:rPr>
      </w:pPr>
      <w:r>
        <w:rPr>
          <w:rFonts w:hint="eastAsia"/>
          <w:lang w:val="en-US" w:eastAsia="zh-CN"/>
        </w:rPr>
        <w:t>1、</w:t>
      </w:r>
      <w:r>
        <w:rPr>
          <w:rFonts w:hint="default"/>
        </w:rPr>
        <w:t>声环境质量现状监测及类比结果：在现有车流量和降噪措施下，调查范围内声环境敏感点满足《声环境质量标准》</w:t>
      </w:r>
      <w:r>
        <w:rPr>
          <w:rFonts w:hint="eastAsia"/>
          <w:lang w:eastAsia="zh-CN"/>
        </w:rPr>
        <w:t>（</w:t>
      </w:r>
      <w:r>
        <w:rPr>
          <w:rFonts w:hint="eastAsia"/>
          <w:lang w:val="en-US" w:eastAsia="zh-CN"/>
        </w:rPr>
        <w:t>G</w:t>
      </w:r>
      <w:r>
        <w:rPr>
          <w:rFonts w:hint="default"/>
        </w:rPr>
        <w:t>B3096-2008）相应标准限值要求。</w:t>
      </w:r>
    </w:p>
    <w:p>
      <w:pPr>
        <w:pStyle w:val="3"/>
        <w:bidi w:val="0"/>
        <w:rPr>
          <w:rFonts w:hint="default"/>
        </w:rPr>
      </w:pPr>
      <w:r>
        <w:rPr>
          <w:rFonts w:hint="eastAsia"/>
          <w:lang w:val="en-US" w:eastAsia="zh-CN"/>
        </w:rPr>
        <w:t>2、</w:t>
      </w:r>
      <w:r>
        <w:rPr>
          <w:rFonts w:hint="default"/>
        </w:rPr>
        <w:t>工程施工和试运营期未对区域生态环境产生明显不利影响。</w:t>
      </w:r>
    </w:p>
    <w:p>
      <w:pPr>
        <w:pStyle w:val="3"/>
        <w:bidi w:val="0"/>
        <w:rPr>
          <w:rFonts w:hint="default"/>
        </w:rPr>
      </w:pPr>
      <w:r>
        <w:rPr>
          <w:rFonts w:hint="eastAsia"/>
          <w:lang w:val="en-US" w:eastAsia="zh-CN"/>
        </w:rPr>
        <w:t>3、</w:t>
      </w:r>
      <w:r>
        <w:rPr>
          <w:rFonts w:hint="default"/>
        </w:rPr>
        <w:t>施工期和试运营期未发生环保投诉。</w:t>
      </w:r>
    </w:p>
    <w:p>
      <w:pPr>
        <w:pStyle w:val="4"/>
        <w:bidi w:val="0"/>
        <w:rPr>
          <w:rFonts w:hint="default"/>
        </w:rPr>
      </w:pPr>
      <w:r>
        <w:rPr>
          <w:rFonts w:hint="default"/>
        </w:rPr>
        <w:t>五、验收结论</w:t>
      </w:r>
    </w:p>
    <w:p>
      <w:pPr>
        <w:pStyle w:val="3"/>
        <w:bidi w:val="0"/>
        <w:rPr>
          <w:rFonts w:hint="default"/>
        </w:rPr>
      </w:pPr>
      <w:r>
        <w:rPr>
          <w:rFonts w:hint="eastAsia"/>
          <w:lang w:eastAsia="zh-CN"/>
        </w:rPr>
        <w:t>盛宁线茅洋至泗洲头段改建工程</w:t>
      </w:r>
      <w:r>
        <w:rPr>
          <w:rFonts w:hint="default"/>
        </w:rPr>
        <w:t>项目环保审批手续齐全，在实施过程中</w:t>
      </w:r>
      <w:r>
        <w:rPr>
          <w:rFonts w:hint="eastAsia"/>
          <w:lang w:val="en-US" w:eastAsia="zh-CN"/>
        </w:rPr>
        <w:t>已</w:t>
      </w:r>
      <w:r>
        <w:rPr>
          <w:rFonts w:hint="default"/>
        </w:rPr>
        <w:t>按照项目环境影响报告书及批复有关要求落实了环境保护措施和对策。</w:t>
      </w:r>
    </w:p>
    <w:p>
      <w:pPr>
        <w:pStyle w:val="3"/>
        <w:bidi w:val="0"/>
        <w:rPr>
          <w:rFonts w:hint="default"/>
        </w:rPr>
      </w:pPr>
      <w:r>
        <w:rPr>
          <w:rFonts w:hint="default"/>
        </w:rPr>
        <w:t>对照《建设项目竣工环境保护验收技术规范</w:t>
      </w:r>
      <w:r>
        <w:rPr>
          <w:rFonts w:hint="eastAsia"/>
          <w:lang w:eastAsia="zh-CN"/>
        </w:rPr>
        <w:t xml:space="preserve"> </w:t>
      </w:r>
      <w:r>
        <w:rPr>
          <w:rFonts w:hint="default"/>
        </w:rPr>
        <w:t>公路》（HJ552-2010）和《建设项目竣工环境保护验收技术规范</w:t>
      </w:r>
      <w:r>
        <w:rPr>
          <w:rFonts w:hint="eastAsia"/>
          <w:lang w:eastAsia="zh-CN"/>
        </w:rPr>
        <w:t xml:space="preserve"> </w:t>
      </w:r>
      <w:r>
        <w:rPr>
          <w:rFonts w:hint="default"/>
        </w:rPr>
        <w:t>生态影响类》（HJ/T394-2007）以及《建设项目竣工环境保护验收暂行办法》（国环规环评</w:t>
      </w:r>
      <w:r>
        <w:rPr>
          <w:rFonts w:hint="eastAsia"/>
          <w:lang w:eastAsia="zh-CN"/>
        </w:rPr>
        <w:t>〔</w:t>
      </w:r>
      <w:r>
        <w:rPr>
          <w:rFonts w:hint="default"/>
        </w:rPr>
        <w:t>2017</w:t>
      </w:r>
      <w:r>
        <w:rPr>
          <w:rFonts w:hint="eastAsia"/>
          <w:lang w:eastAsia="zh-CN"/>
        </w:rPr>
        <w:t>〕</w:t>
      </w:r>
      <w:r>
        <w:rPr>
          <w:rFonts w:hint="default"/>
        </w:rPr>
        <w:t>4号</w:t>
      </w:r>
      <w:r>
        <w:rPr>
          <w:rFonts w:hint="eastAsia"/>
          <w:lang w:eastAsia="zh-CN"/>
        </w:rPr>
        <w:t>）</w:t>
      </w:r>
      <w:r>
        <w:rPr>
          <w:rFonts w:hint="default"/>
        </w:rPr>
        <w:t>，本次验收的</w:t>
      </w:r>
      <w:r>
        <w:rPr>
          <w:rFonts w:hint="eastAsia"/>
          <w:lang w:eastAsia="zh-CN"/>
        </w:rPr>
        <w:t>盛宁线茅洋至泗洲头段改建工程</w:t>
      </w:r>
      <w:r>
        <w:rPr>
          <w:rFonts w:hint="default"/>
        </w:rPr>
        <w:t>项目符合建设项目竣工环境保护验收条件，验收工作组一致同意本项目通过竣工环境保护验收。</w:t>
      </w:r>
    </w:p>
    <w:p>
      <w:pPr>
        <w:pStyle w:val="4"/>
        <w:bidi w:val="0"/>
        <w:rPr>
          <w:rFonts w:hint="default"/>
        </w:rPr>
      </w:pPr>
      <w:r>
        <w:rPr>
          <w:rFonts w:hint="default"/>
        </w:rPr>
        <w:t>六、后续要求</w:t>
      </w:r>
    </w:p>
    <w:p>
      <w:pPr>
        <w:pStyle w:val="3"/>
        <w:bidi w:val="0"/>
        <w:rPr>
          <w:rFonts w:hint="default"/>
        </w:rPr>
      </w:pPr>
      <w:r>
        <w:rPr>
          <w:rFonts w:hint="eastAsia"/>
          <w:lang w:val="en-US" w:eastAsia="zh-CN"/>
        </w:rPr>
        <w:t>1、</w:t>
      </w:r>
      <w:r>
        <w:rPr>
          <w:rFonts w:hint="default"/>
        </w:rPr>
        <w:t>跟踪弃渣场、沿线边坡特别是挖方段边坡的植被恢复情况，对于恢复效果不理想的及时采取补充绿化措施。</w:t>
      </w:r>
    </w:p>
    <w:p>
      <w:pPr>
        <w:pStyle w:val="3"/>
        <w:bidi w:val="0"/>
        <w:rPr>
          <w:rFonts w:hint="default"/>
        </w:rPr>
      </w:pPr>
      <w:r>
        <w:rPr>
          <w:rFonts w:hint="eastAsia"/>
          <w:lang w:val="en-US" w:eastAsia="zh-CN"/>
        </w:rPr>
        <w:t>2、</w:t>
      </w:r>
      <w:r>
        <w:rPr>
          <w:rFonts w:hint="default"/>
        </w:rPr>
        <w:t>委托有资质单位定期开展交通噪声跟踪监测，根据监测结果和实际影响情况适时增补和完善噪声防治措施，确保工程运营期沿线敏感点声环境质量满足标准要求。</w:t>
      </w:r>
    </w:p>
    <w:p>
      <w:pPr>
        <w:pStyle w:val="3"/>
        <w:bidi w:val="0"/>
        <w:rPr>
          <w:rFonts w:hint="default"/>
        </w:rPr>
      </w:pPr>
      <w:r>
        <w:rPr>
          <w:rFonts w:hint="eastAsia"/>
          <w:lang w:val="en-US" w:eastAsia="zh-CN"/>
        </w:rPr>
        <w:t>3、</w:t>
      </w:r>
      <w:r>
        <w:rPr>
          <w:rFonts w:hint="default"/>
        </w:rPr>
        <w:t>运营期应重点加强环境风险防范重点路段的日常风险防范管理工作。根据实际运营和需要，定期开展突发环境事件隐患排查、治理以及应急预案演练工作，强化与地方政府及有关部门的环境应急联动，提高项目应对突发环境事件能力，避免发生突发环境事件。</w:t>
      </w:r>
    </w:p>
    <w:p>
      <w:pPr>
        <w:pStyle w:val="3"/>
        <w:bidi w:val="0"/>
        <w:rPr>
          <w:rFonts w:hint="default"/>
        </w:rPr>
      </w:pPr>
      <w:r>
        <w:rPr>
          <w:rFonts w:hint="default"/>
        </w:rPr>
        <w:t>验收工作组人员信息验收工作组名单附后。</w:t>
      </w:r>
    </w:p>
    <w:p>
      <w:pPr>
        <w:pStyle w:val="15"/>
        <w:bidi w:val="0"/>
        <w:rPr>
          <w:rFonts w:hint="default"/>
        </w:rPr>
      </w:pPr>
      <w:bookmarkStart w:id="0" w:name="会后扫描 3"/>
      <w:bookmarkEnd w:id="0"/>
      <w:r>
        <w:drawing>
          <wp:inline distT="0" distB="0" distL="114300" distR="114300">
            <wp:extent cx="5753735" cy="8124825"/>
            <wp:effectExtent l="0" t="0" r="184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753735" cy="8124825"/>
                    </a:xfrm>
                    <a:prstGeom prst="rect">
                      <a:avLst/>
                    </a:prstGeom>
                    <a:noFill/>
                    <a:ln>
                      <a:noFill/>
                    </a:ln>
                  </pic:spPr>
                </pic:pic>
              </a:graphicData>
            </a:graphic>
          </wp:inline>
        </w:drawing>
      </w:r>
    </w:p>
    <w:p/>
    <w:sectPr>
      <w:footerReference r:id="rId5" w:type="default"/>
      <w:pgSz w:w="11910" w:h="16850"/>
      <w:pgMar w:top="1417" w:right="1417" w:bottom="1417" w:left="141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7527E"/>
    <w:multiLevelType w:val="singleLevel"/>
    <w:tmpl w:val="FD77527E"/>
    <w:lvl w:ilvl="0" w:tentative="0">
      <w:start w:val="1"/>
      <w:numFmt w:val="decimal"/>
      <w:pStyle w:val="18"/>
      <w:suff w:val="nothing"/>
      <w:lvlText w:val="图%1  "/>
      <w:lvlJc w:val="left"/>
      <w:pPr>
        <w:tabs>
          <w:tab w:val="left" w:pos="0"/>
        </w:tabs>
        <w:ind w:left="0" w:firstLine="420"/>
      </w:pPr>
      <w:rPr>
        <w:rFonts w:hint="default" w:ascii="Times New Roman" w:hAnsi="Times New Roman" w:eastAsia="宋体"/>
      </w:rPr>
    </w:lvl>
  </w:abstractNum>
  <w:abstractNum w:abstractNumId="1">
    <w:nsid w:val="12DDA442"/>
    <w:multiLevelType w:val="singleLevel"/>
    <w:tmpl w:val="12DDA442"/>
    <w:lvl w:ilvl="0" w:tentative="0">
      <w:start w:val="1"/>
      <w:numFmt w:val="bullet"/>
      <w:pStyle w:val="16"/>
      <w:lvlText w:val=""/>
      <w:lvlJc w:val="left"/>
      <w:pPr>
        <w:tabs>
          <w:tab w:val="left" w:pos="420"/>
        </w:tabs>
        <w:ind w:left="-62" w:hanging="420"/>
      </w:pPr>
      <w:rPr>
        <w:rFonts w:hint="default" w:ascii="Wingdings" w:hAnsi="Wingdings"/>
      </w:rPr>
    </w:lvl>
  </w:abstractNum>
  <w:abstractNum w:abstractNumId="2">
    <w:nsid w:val="1B594E4A"/>
    <w:multiLevelType w:val="singleLevel"/>
    <w:tmpl w:val="1B594E4A"/>
    <w:lvl w:ilvl="0" w:tentative="0">
      <w:start w:val="1"/>
      <w:numFmt w:val="decimal"/>
      <w:pStyle w:val="6"/>
      <w:suff w:val="nothing"/>
      <w:lvlText w:val="（%1）"/>
      <w:lvlJc w:val="left"/>
      <w:pPr>
        <w:tabs>
          <w:tab w:val="left" w:pos="0"/>
        </w:tabs>
        <w:ind w:left="0" w:firstLine="420"/>
      </w:pPr>
      <w:rPr>
        <w:rFonts w:hint="default" w:ascii="宋体" w:hAnsi="宋体" w:eastAsia="宋体"/>
      </w:rPr>
    </w:lvl>
  </w:abstractNum>
  <w:abstractNum w:abstractNumId="3">
    <w:nsid w:val="20EB1820"/>
    <w:multiLevelType w:val="singleLevel"/>
    <w:tmpl w:val="20EB1820"/>
    <w:lvl w:ilvl="0" w:tentative="0">
      <w:start w:val="1"/>
      <w:numFmt w:val="decimal"/>
      <w:pStyle w:val="5"/>
      <w:suff w:val="nothing"/>
      <w:lvlText w:val="%1、"/>
      <w:lvlJc w:val="left"/>
      <w:pPr>
        <w:ind w:left="0" w:firstLine="420"/>
      </w:pPr>
      <w:rPr>
        <w:rFonts w:hint="default"/>
      </w:rPr>
    </w:lvl>
  </w:abstractNum>
  <w:abstractNum w:abstractNumId="4">
    <w:nsid w:val="4345544C"/>
    <w:multiLevelType w:val="multilevel"/>
    <w:tmpl w:val="4345544C"/>
    <w:lvl w:ilvl="0" w:tentative="0">
      <w:start w:val="1"/>
      <w:numFmt w:val="decimal"/>
      <w:pStyle w:val="12"/>
      <w:suff w:val="nothing"/>
      <w:lvlText w:val="%1. "/>
      <w:lvlJc w:val="left"/>
      <w:pPr>
        <w:tabs>
          <w:tab w:val="left" w:pos="0"/>
        </w:tabs>
        <w:ind w:left="0" w:firstLine="0"/>
      </w:pPr>
      <w:rPr>
        <w:rFonts w:hint="default" w:ascii="宋体" w:hAnsi="宋体" w:eastAsia="宋体"/>
        <w:b/>
        <w:sz w:val="36"/>
      </w:rPr>
    </w:lvl>
    <w:lvl w:ilvl="1" w:tentative="0">
      <w:start w:val="1"/>
      <w:numFmt w:val="decimal"/>
      <w:pStyle w:val="13"/>
      <w:suff w:val="nothing"/>
      <w:lvlText w:val="%1.%2."/>
      <w:lvlJc w:val="left"/>
      <w:pPr>
        <w:tabs>
          <w:tab w:val="left" w:pos="420"/>
        </w:tabs>
        <w:ind w:left="567" w:hanging="567"/>
      </w:pPr>
      <w:rPr>
        <w:rFonts w:hint="default" w:ascii="宋体" w:hAnsi="宋体" w:eastAsia="宋体"/>
        <w:b/>
        <w:sz w:val="24"/>
      </w:rPr>
    </w:lvl>
    <w:lvl w:ilvl="2" w:tentative="0">
      <w:start w:val="1"/>
      <w:numFmt w:val="decimal"/>
      <w:pStyle w:val="14"/>
      <w:suff w:val="nothing"/>
      <w:lvlText w:val="%1.%2.%3."/>
      <w:lvlJc w:val="left"/>
      <w:pPr>
        <w:tabs>
          <w:tab w:val="left" w:pos="420"/>
        </w:tabs>
        <w:ind w:left="709" w:hanging="709"/>
      </w:pPr>
      <w:rPr>
        <w:rFonts w:hint="default" w:ascii="宋体" w:hAnsi="宋体" w:eastAsia="宋体"/>
      </w:rPr>
    </w:lvl>
    <w:lvl w:ilvl="3" w:tentative="0">
      <w:start w:val="1"/>
      <w:numFmt w:val="decimal"/>
      <w:suff w:val="nothing"/>
      <w:lvlText w:val="  %1.%2.%3.%4."/>
      <w:lvlJc w:val="left"/>
      <w:pPr>
        <w:tabs>
          <w:tab w:val="left" w:pos="420"/>
        </w:tabs>
        <w:ind w:left="1134" w:hanging="1134"/>
      </w:pPr>
      <w:rPr>
        <w:rFonts w:hint="default" w:ascii="Times New Roman" w:hAnsi="Times New Roman" w:eastAsia="宋体"/>
        <w:b/>
        <w:sz w:val="24"/>
      </w:rPr>
    </w:lvl>
    <w:lvl w:ilvl="4" w:tentative="0">
      <w:start w:val="1"/>
      <w:numFmt w:val="decimal"/>
      <w:lvlText w:val="%1.%2.%3.%4.%5."/>
      <w:lvlJc w:val="left"/>
      <w:pPr>
        <w:tabs>
          <w:tab w:val="left" w:pos="420"/>
        </w:tabs>
        <w:ind w:left="991" w:hanging="991"/>
      </w:pPr>
      <w:rPr>
        <w:rFonts w:hint="default" w:ascii="宋体" w:hAnsi="宋体" w:eastAsia="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4A014F1A"/>
    <w:multiLevelType w:val="singleLevel"/>
    <w:tmpl w:val="4A014F1A"/>
    <w:lvl w:ilvl="0" w:tentative="0">
      <w:start w:val="1"/>
      <w:numFmt w:val="chineseCounting"/>
      <w:pStyle w:val="2"/>
      <w:suff w:val="nothing"/>
      <w:lvlText w:val="%1、"/>
      <w:lvlJc w:val="left"/>
      <w:pPr>
        <w:ind w:left="0" w:firstLine="420"/>
      </w:pPr>
      <w:rPr>
        <w:rFonts w:hint="eastAsia"/>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MTFhYWVjOGQ2Y2Q0MzU0NGE0ZjAxNjZlNzNkOTQifQ=="/>
  </w:docVars>
  <w:rsids>
    <w:rsidRoot w:val="660719F9"/>
    <w:rsid w:val="000C6BAD"/>
    <w:rsid w:val="028422ED"/>
    <w:rsid w:val="05B4479C"/>
    <w:rsid w:val="07162E1A"/>
    <w:rsid w:val="077E558A"/>
    <w:rsid w:val="089B7EAB"/>
    <w:rsid w:val="0A306EA1"/>
    <w:rsid w:val="0AD74272"/>
    <w:rsid w:val="0E9A1704"/>
    <w:rsid w:val="11D51003"/>
    <w:rsid w:val="19E45391"/>
    <w:rsid w:val="1D144C6E"/>
    <w:rsid w:val="1D5A5F73"/>
    <w:rsid w:val="23280196"/>
    <w:rsid w:val="33874180"/>
    <w:rsid w:val="361429C5"/>
    <w:rsid w:val="3AB8252A"/>
    <w:rsid w:val="409C584F"/>
    <w:rsid w:val="40B02584"/>
    <w:rsid w:val="46403D37"/>
    <w:rsid w:val="4689195D"/>
    <w:rsid w:val="4870127D"/>
    <w:rsid w:val="52412102"/>
    <w:rsid w:val="53134FAB"/>
    <w:rsid w:val="55806A2A"/>
    <w:rsid w:val="592F01A3"/>
    <w:rsid w:val="620C2F1B"/>
    <w:rsid w:val="660719F9"/>
    <w:rsid w:val="69C45E93"/>
    <w:rsid w:val="6B5612C2"/>
    <w:rsid w:val="6CEE3F6E"/>
    <w:rsid w:val="6FF071A4"/>
    <w:rsid w:val="718D41DB"/>
    <w:rsid w:val="78AA0A59"/>
    <w:rsid w:val="79A100AE"/>
    <w:rsid w:val="7F4E5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3"/>
    <w:next w:val="3"/>
    <w:qFormat/>
    <w:uiPriority w:val="0"/>
    <w:pPr>
      <w:keepNext/>
      <w:keepLines/>
      <w:numPr>
        <w:ilvl w:val="0"/>
        <w:numId w:val="1"/>
      </w:numPr>
      <w:spacing w:line="240" w:lineRule="auto"/>
      <w:ind w:firstLine="0" w:firstLineChars="0"/>
      <w:jc w:val="center"/>
      <w:outlineLvl w:val="0"/>
    </w:pPr>
    <w:rPr>
      <w:rFonts w:eastAsia="黑体"/>
      <w:b/>
      <w:kern w:val="44"/>
      <w:sz w:val="30"/>
    </w:rPr>
  </w:style>
  <w:style w:type="paragraph" w:styleId="4">
    <w:name w:val="heading 2"/>
    <w:basedOn w:val="3"/>
    <w:next w:val="1"/>
    <w:unhideWhenUsed/>
    <w:qFormat/>
    <w:uiPriority w:val="0"/>
    <w:pPr>
      <w:keepNext/>
      <w:keepLines/>
      <w:ind w:firstLine="720" w:firstLineChars="200"/>
      <w:jc w:val="both"/>
      <w:outlineLvl w:val="1"/>
    </w:pPr>
    <w:rPr>
      <w:rFonts w:ascii="Times New Roman" w:hAnsi="Times New Roman" w:eastAsia="宋体"/>
      <w:b/>
    </w:rPr>
  </w:style>
  <w:style w:type="paragraph" w:styleId="5">
    <w:name w:val="heading 3"/>
    <w:basedOn w:val="3"/>
    <w:next w:val="3"/>
    <w:unhideWhenUsed/>
    <w:qFormat/>
    <w:uiPriority w:val="0"/>
    <w:pPr>
      <w:keepNext/>
      <w:keepLines/>
      <w:numPr>
        <w:ilvl w:val="0"/>
        <w:numId w:val="2"/>
      </w:numPr>
      <w:ind w:firstLine="602"/>
      <w:outlineLvl w:val="2"/>
    </w:pPr>
    <w:rPr>
      <w:rFonts w:ascii="Times New Roman" w:hAnsi="Times New Roman" w:eastAsia="宋体"/>
      <w:b/>
    </w:rPr>
  </w:style>
  <w:style w:type="paragraph" w:styleId="6">
    <w:name w:val="heading 4"/>
    <w:basedOn w:val="3"/>
    <w:next w:val="3"/>
    <w:unhideWhenUsed/>
    <w:qFormat/>
    <w:uiPriority w:val="0"/>
    <w:pPr>
      <w:keepNext/>
      <w:keepLines/>
      <w:numPr>
        <w:ilvl w:val="0"/>
        <w:numId w:val="3"/>
      </w:numPr>
      <w:outlineLvl w:val="3"/>
    </w:pPr>
    <w:rPr>
      <w:b/>
    </w:rPr>
  </w:style>
  <w:style w:type="character" w:default="1" w:styleId="9">
    <w:name w:val="Default Paragraph Font"/>
    <w:semiHidden/>
    <w:qFormat/>
    <w:uiPriority w:val="0"/>
    <w:rPr>
      <w:rFonts w:ascii="Times New Roman" w:hAnsi="Times New Roman" w:eastAsia="宋体" w:cs="Times New Roman"/>
      <w:b/>
      <w:bCs/>
      <w:color w:val="000000"/>
      <w:sz w:val="24"/>
      <w:szCs w:val="32"/>
      <w:lang w:val="en-US" w:eastAsia="zh-CN" w:bidi="ar-SA"/>
    </w:rPr>
  </w:style>
  <w:style w:type="table" w:default="1" w:styleId="8">
    <w:name w:val="Normal Table"/>
    <w:semiHidden/>
    <w:qFormat/>
    <w:uiPriority w:val="0"/>
    <w:tblPr>
      <w:tblCellMar>
        <w:top w:w="0" w:type="dxa"/>
        <w:left w:w="108" w:type="dxa"/>
        <w:bottom w:w="0" w:type="dxa"/>
        <w:right w:w="108" w:type="dxa"/>
      </w:tblCellMar>
    </w:tblPr>
  </w:style>
  <w:style w:type="paragraph" w:customStyle="1" w:styleId="3">
    <w:name w:val="环评表正文"/>
    <w:link w:val="11"/>
    <w:qFormat/>
    <w:uiPriority w:val="0"/>
    <w:pPr>
      <w:spacing w:line="360" w:lineRule="auto"/>
      <w:ind w:firstLine="880" w:firstLineChars="200"/>
      <w:jc w:val="both"/>
    </w:pPr>
    <w:rPr>
      <w:rFonts w:ascii="Times New Roman" w:hAnsi="Times New Roman" w:eastAsia="宋体" w:cstheme="minorBidi"/>
      <w:sz w:val="24"/>
      <w:lang w:val="en-US" w:eastAsia="zh-CN" w:bidi="ar-SA"/>
    </w:rPr>
  </w:style>
  <w:style w:type="paragraph" w:styleId="7">
    <w:name w:val="Body Text"/>
    <w:basedOn w:val="1"/>
    <w:qFormat/>
    <w:uiPriority w:val="1"/>
    <w:pPr>
      <w:ind w:left="116"/>
    </w:pPr>
    <w:rPr>
      <w:rFonts w:ascii="宋体" w:hAnsi="宋体" w:eastAsia="宋体"/>
      <w:sz w:val="27"/>
      <w:szCs w:val="27"/>
    </w:rPr>
  </w:style>
  <w:style w:type="paragraph" w:customStyle="1" w:styleId="10">
    <w:name w:val="填表样式"/>
    <w:basedOn w:val="1"/>
    <w:qFormat/>
    <w:uiPriority w:val="0"/>
    <w:pPr>
      <w:ind w:firstLine="560" w:firstLineChars="200"/>
      <w:jc w:val="left"/>
    </w:pPr>
    <w:rPr>
      <w:rFonts w:ascii="Times New Roman" w:hAnsi="Times New Roman" w:eastAsia="宋体"/>
      <w:sz w:val="24"/>
    </w:rPr>
  </w:style>
  <w:style w:type="character" w:customStyle="1" w:styleId="11">
    <w:name w:val="环评表正文 Char"/>
    <w:link w:val="3"/>
    <w:qFormat/>
    <w:uiPriority w:val="0"/>
    <w:rPr>
      <w:rFonts w:ascii="Times New Roman" w:hAnsi="Times New Roman" w:eastAsia="宋体" w:cstheme="minorBidi"/>
      <w:sz w:val="24"/>
      <w:lang w:val="en-US" w:eastAsia="zh-CN" w:bidi="ar-SA"/>
    </w:rPr>
  </w:style>
  <w:style w:type="paragraph" w:customStyle="1" w:styleId="12">
    <w:name w:val="常规一级"/>
    <w:qFormat/>
    <w:uiPriority w:val="0"/>
    <w:pPr>
      <w:numPr>
        <w:ilvl w:val="0"/>
        <w:numId w:val="4"/>
      </w:numPr>
      <w:pBdr>
        <w:top w:val="none" w:color="auto" w:sz="0" w:space="1"/>
        <w:left w:val="none" w:color="auto" w:sz="0" w:space="4"/>
        <w:bottom w:val="single" w:color="auto" w:sz="12" w:space="1"/>
        <w:right w:val="none" w:color="auto" w:sz="0" w:space="4"/>
      </w:pBdr>
      <w:tabs>
        <w:tab w:val="clear" w:pos="0"/>
      </w:tabs>
      <w:spacing w:before="720" w:after="720"/>
      <w:outlineLvl w:val="0"/>
    </w:pPr>
    <w:rPr>
      <w:rFonts w:ascii="Times New Roman" w:hAnsi="Times New Roman" w:eastAsia="黑体" w:cs="Times New Roman"/>
      <w:b/>
      <w:bCs/>
      <w:sz w:val="36"/>
      <w:szCs w:val="44"/>
      <w:lang w:val="en-US" w:eastAsia="zh-CN" w:bidi="ar-SA"/>
    </w:rPr>
  </w:style>
  <w:style w:type="paragraph" w:customStyle="1" w:styleId="13">
    <w:name w:val="常规二级"/>
    <w:qFormat/>
    <w:uiPriority w:val="0"/>
    <w:pPr>
      <w:numPr>
        <w:ilvl w:val="1"/>
        <w:numId w:val="4"/>
      </w:numPr>
      <w:tabs>
        <w:tab w:val="left" w:pos="0"/>
        <w:tab w:val="left" w:pos="567"/>
        <w:tab w:val="clear" w:pos="420"/>
      </w:tabs>
      <w:spacing w:line="360" w:lineRule="auto"/>
      <w:outlineLvl w:val="1"/>
    </w:pPr>
    <w:rPr>
      <w:rFonts w:ascii="Times New Roman" w:hAnsi="Times New Roman" w:eastAsia="宋体" w:cs="Times New Roman"/>
      <w:b/>
      <w:bCs/>
      <w:color w:val="000000"/>
      <w:sz w:val="24"/>
      <w:szCs w:val="32"/>
      <w:lang w:val="en-US" w:eastAsia="zh-CN" w:bidi="ar-SA"/>
    </w:rPr>
  </w:style>
  <w:style w:type="paragraph" w:customStyle="1" w:styleId="14">
    <w:name w:val="常规三级"/>
    <w:qFormat/>
    <w:uiPriority w:val="0"/>
    <w:pPr>
      <w:numPr>
        <w:ilvl w:val="2"/>
        <w:numId w:val="4"/>
      </w:numPr>
      <w:tabs>
        <w:tab w:val="left" w:pos="0"/>
        <w:tab w:val="left" w:pos="709"/>
      </w:tabs>
      <w:spacing w:after="60" w:line="360" w:lineRule="auto"/>
      <w:outlineLvl w:val="2"/>
    </w:pPr>
    <w:rPr>
      <w:rFonts w:ascii="Times New Roman" w:hAnsi="Times New Roman" w:eastAsia="宋体" w:cs="Times New Roman"/>
      <w:b/>
      <w:bCs/>
      <w:color w:val="000000"/>
      <w:sz w:val="24"/>
      <w:szCs w:val="32"/>
      <w:lang w:val="en-US" w:eastAsia="zh-CN" w:bidi="ar-SA"/>
    </w:rPr>
  </w:style>
  <w:style w:type="paragraph" w:customStyle="1" w:styleId="15">
    <w:name w:val="表内文字（居中）"/>
    <w:basedOn w:val="3"/>
    <w:qFormat/>
    <w:uiPriority w:val="0"/>
    <w:pPr>
      <w:spacing w:line="240" w:lineRule="auto"/>
      <w:ind w:firstLine="0" w:firstLineChars="0"/>
      <w:jc w:val="center"/>
    </w:pPr>
    <w:rPr>
      <w:rFonts w:hint="eastAsia"/>
      <w:bCs/>
      <w:sz w:val="21"/>
      <w:szCs w:val="21"/>
    </w:rPr>
  </w:style>
  <w:style w:type="paragraph" w:customStyle="1" w:styleId="16">
    <w:name w:val="星级标题"/>
    <w:basedOn w:val="3"/>
    <w:next w:val="3"/>
    <w:qFormat/>
    <w:uiPriority w:val="0"/>
    <w:pPr>
      <w:numPr>
        <w:ilvl w:val="0"/>
        <w:numId w:val="5"/>
      </w:numPr>
      <w:ind w:left="0"/>
      <w:jc w:val="both"/>
    </w:pPr>
    <w:rPr>
      <w:b/>
    </w:rPr>
  </w:style>
  <w:style w:type="paragraph" w:customStyle="1" w:styleId="17">
    <w:name w:val="正文（表内居中）"/>
    <w:basedOn w:val="3"/>
    <w:qFormat/>
    <w:uiPriority w:val="0"/>
    <w:pPr>
      <w:spacing w:line="240" w:lineRule="auto"/>
      <w:ind w:firstLine="0" w:firstLineChars="0"/>
      <w:jc w:val="center"/>
    </w:pPr>
    <w:rPr>
      <w:rFonts w:hint="eastAsia"/>
      <w:bCs/>
    </w:rPr>
  </w:style>
  <w:style w:type="paragraph" w:customStyle="1" w:styleId="18">
    <w:name w:val="附图标题"/>
    <w:basedOn w:val="1"/>
    <w:next w:val="3"/>
    <w:qFormat/>
    <w:uiPriority w:val="0"/>
    <w:pPr>
      <w:numPr>
        <w:ilvl w:val="0"/>
        <w:numId w:val="6"/>
      </w:numPr>
      <w:spacing w:line="240" w:lineRule="auto"/>
      <w:ind w:firstLine="0" w:firstLineChars="0"/>
      <w:jc w:val="center"/>
    </w:pPr>
    <w:rPr>
      <w:rFonts w:hint="eastAsia" w:ascii="Times New Roman" w:hAnsi="Times New Roman" w:eastAsia="宋体" w:cs="Times New Roman"/>
      <w:b/>
      <w:sz w:val="24"/>
      <w:szCs w:val="22"/>
    </w:rPr>
  </w:style>
  <w:style w:type="paragraph" w:customStyle="1" w:styleId="19">
    <w:name w:val="环评表表格"/>
    <w:basedOn w:val="3"/>
    <w:next w:val="3"/>
    <w:qFormat/>
    <w:uiPriority w:val="0"/>
    <w:pPr>
      <w:tabs>
        <w:tab w:val="left" w:pos="0"/>
      </w:tabs>
      <w:spacing w:before="50" w:beforeLines="50" w:after="50" w:afterLines="50" w:line="240" w:lineRule="auto"/>
      <w:ind w:firstLine="0" w:firstLineChars="0"/>
      <w:jc w:val="center"/>
    </w:pPr>
    <w:rPr>
      <w:rFonts w:hint="eastAsia" w:ascii="Times New Roman" w:hAnsi="Times New Roman" w:eastAsia="宋体"/>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2187</Words>
  <Characters>2297</Characters>
  <Lines>0</Lines>
  <Paragraphs>0</Paragraphs>
  <TotalTime>4</TotalTime>
  <ScaleCrop>false</ScaleCrop>
  <LinksUpToDate>false</LinksUpToDate>
  <CharactersWithSpaces>2299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2023-08-31T05:45:00Z</dcterms:created>
  <dc:creator>田庆林</dc:creator>
  <cp:lastModifiedBy>田庆林</cp:lastModifiedBy>
  <dcterms:modified xsi:type="dcterms:W3CDTF">2023-11-17T02:31:41Z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9D128835EE8449229C5A7256E550FB3C_11</vt:lpwstr>
  </property>
</Properties>
</file>